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466229">
      <w:pPr>
        <w:rPr>
          <w:rFonts w:hint="eastAsia"/>
          <w:w w:val="90"/>
        </w:rPr>
      </w:pPr>
      <w:r>
        <w:object>
          <v:shape id="_x0000_i1025" o:spt="75" type="#_x0000_t75" style="height:51.15pt;width:117.75pt;" o:ole="t" filled="f" o:preferrelative="t" stroked="f" coordsize="21600,21600">
            <v:path/>
            <v:fill on="f" focussize="0,0"/>
            <v:stroke on="f"/>
            <v:imagedata r:id="rId8" o:title=""/>
            <o:lock v:ext="edit" aspectratio="t"/>
            <w10:wrap type="none"/>
            <w10:anchorlock/>
          </v:shape>
          <o:OLEObject Type="Embed" ProgID="" ShapeID="_x0000_i1025" DrawAspect="Content" ObjectID="_1468075726" r:id="rId7">
            <o:LockedField>false</o:LockedField>
          </o:OLEObject>
        </w:object>
      </w:r>
    </w:p>
    <w:p w14:paraId="1BAEF402">
      <w:pPr>
        <w:rPr>
          <w:rFonts w:hint="eastAsia"/>
          <w:w w:val="90"/>
        </w:rPr>
      </w:pPr>
    </w:p>
    <w:p w14:paraId="5290F7E7">
      <w:pPr>
        <w:rPr>
          <w:w w:val="90"/>
        </w:rPr>
      </w:pPr>
    </w:p>
    <w:p w14:paraId="272B85BD">
      <w:pPr>
        <w:rPr>
          <w:w w:val="90"/>
          <w:sz w:val="44"/>
          <w:szCs w:val="44"/>
        </w:rPr>
      </w:pPr>
      <w:r>
        <w:rPr>
          <w:sz w:val="44"/>
          <w:szCs w:val="44"/>
        </w:rPr>
        <mc:AlternateContent>
          <mc:Choice Requires="wps">
            <w:drawing>
              <wp:anchor distT="0" distB="0" distL="114300" distR="114300" simplePos="0" relativeHeight="251659264" behindDoc="1" locked="0" layoutInCell="1" allowOverlap="1">
                <wp:simplePos x="0" y="0"/>
                <wp:positionH relativeFrom="page">
                  <wp:posOffset>1155700</wp:posOffset>
                </wp:positionH>
                <wp:positionV relativeFrom="page">
                  <wp:posOffset>1577975</wp:posOffset>
                </wp:positionV>
                <wp:extent cx="0" cy="2447925"/>
                <wp:effectExtent l="19050" t="0" r="19050" b="9525"/>
                <wp:wrapNone/>
                <wp:docPr id="1" name="直线 17"/>
                <wp:cNvGraphicFramePr/>
                <a:graphic xmlns:a="http://schemas.openxmlformats.org/drawingml/2006/main">
                  <a:graphicData uri="http://schemas.microsoft.com/office/word/2010/wordprocessingShape">
                    <wps:wsp>
                      <wps:cNvCnPr/>
                      <wps:spPr>
                        <a:xfrm>
                          <a:off x="0" y="0"/>
                          <a:ext cx="0" cy="2447925"/>
                        </a:xfrm>
                        <a:prstGeom prst="line">
                          <a:avLst/>
                        </a:prstGeom>
                        <a:ln w="38100" cap="flat" cmpd="sng">
                          <a:solidFill>
                            <a:srgbClr val="4F82BD"/>
                          </a:solidFill>
                          <a:prstDash val="solid"/>
                          <a:headEnd type="none" w="med" len="med"/>
                          <a:tailEnd type="none" w="med" len="med"/>
                        </a:ln>
                      </wps:spPr>
                      <wps:bodyPr upright="1"/>
                    </wps:wsp>
                  </a:graphicData>
                </a:graphic>
              </wp:anchor>
            </w:drawing>
          </mc:Choice>
          <mc:Fallback>
            <w:pict>
              <v:line id="直线 17" o:spid="_x0000_s1026" o:spt="20" style="position:absolute;left:0pt;margin-left:91pt;margin-top:124.25pt;height:192.75pt;width:0pt;mso-position-horizontal-relative:page;mso-position-vertical-relative:page;z-index:-251657216;mso-width-relative:page;mso-height-relative:page;" filled="f" stroked="t" coordsize="21600,21600" o:gfxdata="UEsDBAoAAAAAAIdO4kAAAAAAAAAAAAAAAAAEAAAAZHJzL1BLAwQUAAAACACHTuJA2jU1MdkAAAAL&#10;AQAADwAAAGRycy9kb3ducmV2LnhtbE2PwU7DMBBE70j8g7WVuFG7oa2iEKcHBCIHDjRU4urGSxLV&#10;XgfbbQNfj8sFjjM7mn1TbiZr2Al9GBxJWMwFMKTW6YE6Cbu3p9scWIiKtDKOUMIXBthU11elKrQ7&#10;0xZPTexYKqFQKAl9jGPBeWh7tCrM3YiUbh/OWxWT9B3XXp1TuTU8E2LNrRoofejViA89tofmaCXU&#10;/vs57ELTmNfa14/vL9vPejVJeTNbiHtgEaf4F4YLfkKHKjHt3ZF0YCbpPEtbooRsma+AXRK/zl7C&#10;+m4pgFcl/7+h+gFQSwMEFAAAAAgAh07iQHkIzi3rAQAA3QMAAA4AAABkcnMvZTJvRG9jLnhtbK1T&#10;S44TMRDdI3EHy3vSSQhMaKUzEhPCBkEk4AA1trvbkn9yOenkLFyDFRuOM9eg7A4ZGDZZsOkuVz0/&#10;13tlr26P1rCDiqi9a/hsMuVMOeGldl3Dv37ZvlhyhgmcBOOdavhJIb9dP3+2GkKt5r73RqrIiMRh&#10;PYSG9ymFuqpQ9MoCTnxQjoqtjxYSLWNXyQgDsVtTzafT19XgowzRC4VI2c1Y5GfGeA2hb1st1MaL&#10;vVUujaxRGUgkCXsdkK9Lt22rRPrUtqgSMw0npal86RCK7/O3Wq+g7iKEXotzC3BNC080WdCODr1Q&#10;bSAB20f9D5XVInr0bZoIb6tRSHGEVMymT7z53ENQRQtZjeFiOv4/WvHxsItMS7oJnDmwNPCHb98f&#10;fvxks5tszhCwJsyd28XzCsMuZqXHNtr8Jw3sWAw9XQxVx8TEmBSUnS8WN2/mrzJf9bgxREzvlbcs&#10;Bw032mWtUMPhA6YR+huS08axoeEvl7MpzU4A3byWJk6hDdQ9uq5sRm+03Gpj8haM3f2diewANP3F&#10;djl/uzn38Bcsn7IB7EdcKWUY1L0C+c5Jlk6BfHH0HHjuwSrJmVH0enJUkAm0uQZJ8o0jF7Kto5E5&#10;uvfyRFPYh6i7nqyYlS5zhaZePDvf0Hyt/lwXpsdXu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jU1MdkAAAALAQAADwAAAAAAAAABACAAAAAiAAAAZHJzL2Rvd25yZXYueG1sUEsBAhQAFAAAAAgA&#10;h07iQHkIzi3rAQAA3QMAAA4AAAAAAAAAAQAgAAAAKAEAAGRycy9lMm9Eb2MueG1sUEsFBgAAAAAG&#10;AAYAWQEAAIUFAAAAAA==&#10;">
                <v:fill on="f" focussize="0,0"/>
                <v:stroke weight="3pt" color="#4F82BD" joinstyle="round"/>
                <v:imagedata o:title=""/>
                <o:lock v:ext="edit" aspectratio="f"/>
              </v:line>
            </w:pict>
          </mc:Fallback>
        </mc:AlternateContent>
      </w:r>
    </w:p>
    <w:p w14:paraId="6E56C5ED">
      <w:pPr>
        <w:jc w:val="center"/>
        <w:rPr>
          <w:rFonts w:hint="eastAsia" w:ascii="宋体" w:hAnsi="宋体"/>
          <w:b/>
          <w:w w:val="90"/>
          <w:sz w:val="72"/>
          <w:szCs w:val="72"/>
        </w:rPr>
      </w:pPr>
      <w:r>
        <w:rPr>
          <w:rFonts w:hint="eastAsia" w:ascii="宋体" w:hAnsi="宋体"/>
          <w:b/>
          <w:w w:val="90"/>
          <w:sz w:val="72"/>
          <w:szCs w:val="72"/>
        </w:rPr>
        <w:t xml:space="preserve"> “浙江制造”认证</w:t>
      </w:r>
    </w:p>
    <w:p w14:paraId="3EAD6E98">
      <w:pPr>
        <w:jc w:val="center"/>
        <w:rPr>
          <w:rFonts w:ascii="宋体"/>
          <w:b/>
          <w:w w:val="90"/>
          <w:sz w:val="44"/>
          <w:szCs w:val="44"/>
        </w:rPr>
      </w:pPr>
    </w:p>
    <w:p w14:paraId="151239EE">
      <w:pPr>
        <w:jc w:val="center"/>
        <w:rPr>
          <w:w w:val="90"/>
          <w:sz w:val="44"/>
          <w:szCs w:val="44"/>
        </w:rPr>
      </w:pPr>
    </w:p>
    <w:p w14:paraId="13566B65">
      <w:pPr>
        <w:jc w:val="center"/>
        <w:rPr>
          <w:rFonts w:hint="eastAsia"/>
          <w:b/>
          <w:w w:val="90"/>
          <w:sz w:val="72"/>
          <w:szCs w:val="72"/>
        </w:rPr>
      </w:pPr>
      <w:r>
        <w:rPr>
          <w:rFonts w:ascii="宋体" w:hAnsi="宋体"/>
          <w:b/>
          <w:w w:val="90"/>
          <w:sz w:val="72"/>
          <w:szCs w:val="72"/>
        </w:rPr>
        <w:t>20</w:t>
      </w:r>
      <w:r>
        <w:rPr>
          <w:rFonts w:hint="eastAsia" w:ascii="宋体" w:hAnsi="宋体"/>
          <w:b/>
          <w:w w:val="90"/>
          <w:sz w:val="72"/>
          <w:szCs w:val="72"/>
        </w:rPr>
        <w:t>24年度</w:t>
      </w:r>
      <w:r>
        <w:rPr>
          <w:rFonts w:hint="eastAsia"/>
          <w:b/>
          <w:w w:val="90"/>
          <w:sz w:val="72"/>
          <w:szCs w:val="72"/>
        </w:rPr>
        <w:t>社会责任报告</w:t>
      </w:r>
    </w:p>
    <w:p w14:paraId="5075DF10">
      <w:pPr>
        <w:pStyle w:val="2"/>
        <w:rPr>
          <w:rFonts w:hint="eastAsia"/>
        </w:rPr>
      </w:pPr>
    </w:p>
    <w:p w14:paraId="6BC4C42F">
      <w:pPr>
        <w:jc w:val="center"/>
        <w:rPr>
          <w:rFonts w:hint="eastAsia" w:ascii="黑体" w:hAnsi="黑体" w:eastAsia="黑体"/>
          <w:w w:val="90"/>
          <w:sz w:val="72"/>
          <w:szCs w:val="72"/>
        </w:rPr>
      </w:pPr>
    </w:p>
    <w:p w14:paraId="0FB2EFEC">
      <w:pPr>
        <w:pStyle w:val="2"/>
        <w:rPr>
          <w:rFonts w:hint="eastAsia"/>
        </w:rPr>
      </w:pPr>
      <w:r>
        <w:rPr>
          <w:b/>
          <w:sz w:val="48"/>
          <w:szCs w:val="48"/>
          <w:lang w:eastAsia="zh-CN"/>
        </w:rPr>
        <w:drawing>
          <wp:inline distT="0" distB="0" distL="114300" distR="114300">
            <wp:extent cx="5628005" cy="2790190"/>
            <wp:effectExtent l="0" t="0" r="10795" b="10160"/>
            <wp:docPr id="2" name="图片 1" descr="175006816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750068167741"/>
                    <pic:cNvPicPr>
                      <a:picLocks noChangeAspect="1"/>
                    </pic:cNvPicPr>
                  </pic:nvPicPr>
                  <pic:blipFill>
                    <a:blip r:embed="rId9"/>
                    <a:stretch>
                      <a:fillRect/>
                    </a:stretch>
                  </pic:blipFill>
                  <pic:spPr>
                    <a:xfrm>
                      <a:off x="0" y="0"/>
                      <a:ext cx="5628005" cy="2790190"/>
                    </a:xfrm>
                    <a:prstGeom prst="rect">
                      <a:avLst/>
                    </a:prstGeom>
                    <a:noFill/>
                    <a:ln>
                      <a:noFill/>
                    </a:ln>
                  </pic:spPr>
                </pic:pic>
              </a:graphicData>
            </a:graphic>
          </wp:inline>
        </w:drawing>
      </w:r>
    </w:p>
    <w:p w14:paraId="7548AB70">
      <w:pPr>
        <w:pStyle w:val="2"/>
        <w:rPr>
          <w:rFonts w:hint="eastAsia"/>
        </w:rPr>
      </w:pPr>
    </w:p>
    <w:p w14:paraId="40A1B3C8">
      <w:pPr>
        <w:rPr>
          <w:rFonts w:hint="eastAsia"/>
          <w:w w:val="90"/>
          <w:sz w:val="44"/>
          <w:szCs w:val="44"/>
        </w:rPr>
      </w:pPr>
    </w:p>
    <w:p w14:paraId="68E88490">
      <w:pPr>
        <w:spacing w:line="480" w:lineRule="auto"/>
        <w:jc w:val="center"/>
        <w:rPr>
          <w:rFonts w:hint="eastAsia" w:eastAsia="宋体"/>
          <w:b/>
          <w:w w:val="90"/>
          <w:sz w:val="48"/>
          <w:szCs w:val="48"/>
          <w:lang w:eastAsia="zh-CN"/>
        </w:rPr>
      </w:pPr>
      <w:r>
        <w:rPr>
          <w:rFonts w:hint="eastAsia"/>
          <w:b/>
          <w:w w:val="90"/>
          <w:sz w:val="48"/>
          <w:szCs w:val="48"/>
          <w:lang w:eastAsia="zh-CN"/>
        </w:rPr>
        <w:t>开开电缆科技有限公司</w:t>
      </w:r>
    </w:p>
    <w:p w14:paraId="2F6D373F">
      <w:pPr>
        <w:spacing w:line="480" w:lineRule="auto"/>
        <w:jc w:val="center"/>
        <w:rPr>
          <w:rFonts w:hint="eastAsia" w:ascii="宋体" w:hAnsi="宋体"/>
          <w:b/>
          <w:sz w:val="48"/>
          <w:szCs w:val="44"/>
        </w:rPr>
        <w:sectPr>
          <w:headerReference r:id="rId3" w:type="default"/>
          <w:footerReference r:id="rId4" w:type="default"/>
          <w:pgSz w:w="11906" w:h="16838"/>
          <w:pgMar w:top="754" w:right="1474" w:bottom="1247" w:left="1474" w:header="850" w:footer="567" w:gutter="0"/>
          <w:cols w:space="720" w:num="1"/>
          <w:docGrid w:type="lines" w:linePitch="312" w:charSpace="0"/>
        </w:sectPr>
      </w:pPr>
      <w:r>
        <w:rPr>
          <w:rFonts w:hint="eastAsia" w:ascii="宋体" w:hAnsi="宋体"/>
          <w:b/>
          <w:sz w:val="48"/>
          <w:szCs w:val="44"/>
        </w:rPr>
        <w:t>2025年3月8日</w:t>
      </w:r>
    </w:p>
    <w:p w14:paraId="0635990B">
      <w:pPr>
        <w:pStyle w:val="2"/>
      </w:pPr>
    </w:p>
    <w:p w14:paraId="24A7FE29">
      <w:pPr>
        <w:pStyle w:val="2"/>
        <w:rPr>
          <w:rFonts w:hint="eastAsia"/>
        </w:rPr>
      </w:pPr>
    </w:p>
    <w:p w14:paraId="7898F8B6">
      <w:pPr>
        <w:spacing w:after="156" w:afterLines="50"/>
        <w:jc w:val="center"/>
        <w:rPr>
          <w:rFonts w:hint="eastAsia"/>
          <w:b/>
          <w:w w:val="90"/>
          <w:sz w:val="44"/>
          <w:szCs w:val="44"/>
        </w:rPr>
      </w:pPr>
      <w:r>
        <w:rPr>
          <w:rFonts w:hint="eastAsia"/>
          <w:b/>
          <w:w w:val="90"/>
          <w:sz w:val="44"/>
          <w:szCs w:val="44"/>
        </w:rPr>
        <w:t>社会责任报告</w:t>
      </w:r>
    </w:p>
    <w:p w14:paraId="25A19FC4">
      <w:pPr>
        <w:spacing w:after="156" w:afterLines="50"/>
        <w:jc w:val="center"/>
        <w:rPr>
          <w:rFonts w:hint="eastAsia"/>
          <w:b/>
          <w:w w:val="90"/>
          <w:sz w:val="44"/>
          <w:szCs w:val="44"/>
        </w:rPr>
      </w:pPr>
    </w:p>
    <w:p w14:paraId="750B022F">
      <w:pPr>
        <w:spacing w:line="360" w:lineRule="auto"/>
        <w:ind w:left="271" w:leftChars="129" w:firstLine="695" w:firstLineChars="276"/>
        <w:jc w:val="left"/>
        <w:rPr>
          <w:rFonts w:hint="eastAsia" w:ascii="宋体" w:hAnsi="宋体"/>
          <w:w w:val="90"/>
          <w:sz w:val="28"/>
          <w:szCs w:val="28"/>
        </w:rPr>
      </w:pPr>
      <w:r>
        <w:rPr>
          <w:rFonts w:hint="eastAsia" w:ascii="宋体" w:hAnsi="宋体"/>
          <w:w w:val="90"/>
          <w:sz w:val="28"/>
          <w:szCs w:val="28"/>
          <w:lang w:eastAsia="zh-CN"/>
        </w:rPr>
        <w:t>开开电缆科技有限公司</w:t>
      </w:r>
      <w:r>
        <w:rPr>
          <w:rFonts w:hint="eastAsia" w:ascii="宋体" w:hAnsi="宋体"/>
          <w:w w:val="90"/>
          <w:sz w:val="28"/>
          <w:szCs w:val="28"/>
        </w:rPr>
        <w:t>紧紧以科学发展观为指导，强化“企业公民”意识，公司始终坚持在企业发展的同时，将承担社会责任为己任，为社会做力所能及的贡献。公司作为当地的利税第</w:t>
      </w:r>
      <w:r>
        <w:rPr>
          <w:rFonts w:hint="eastAsia" w:ascii="宋体" w:hAnsi="宋体"/>
          <w:b/>
          <w:w w:val="90"/>
          <w:sz w:val="28"/>
          <w:szCs w:val="28"/>
        </w:rPr>
        <w:t>一</w:t>
      </w:r>
      <w:r>
        <w:rPr>
          <w:rFonts w:hint="eastAsia" w:ascii="宋体" w:hAnsi="宋体"/>
          <w:w w:val="90"/>
          <w:sz w:val="28"/>
          <w:szCs w:val="28"/>
        </w:rPr>
        <w:t>大户，202</w:t>
      </w:r>
      <w:r>
        <w:rPr>
          <w:rFonts w:hint="eastAsia" w:ascii="宋体" w:hAnsi="宋体"/>
          <w:w w:val="90"/>
          <w:sz w:val="28"/>
          <w:szCs w:val="28"/>
          <w:lang w:val="en-US" w:eastAsia="zh-CN"/>
        </w:rPr>
        <w:t>4</w:t>
      </w:r>
      <w:r>
        <w:rPr>
          <w:rFonts w:hint="eastAsia" w:ascii="宋体" w:hAnsi="宋体"/>
          <w:w w:val="90"/>
          <w:sz w:val="28"/>
          <w:szCs w:val="28"/>
        </w:rPr>
        <w:t>年创造税收</w:t>
      </w:r>
      <w:r>
        <w:rPr>
          <w:rFonts w:hint="eastAsia" w:ascii="宋体" w:hAnsi="宋体"/>
          <w:w w:val="90"/>
          <w:sz w:val="28"/>
          <w:szCs w:val="28"/>
          <w:lang w:eastAsia="zh-CN"/>
        </w:rPr>
        <w:t>734.46</w:t>
      </w:r>
      <w:r>
        <w:rPr>
          <w:rFonts w:hint="eastAsia" w:ascii="宋体" w:hAnsi="宋体"/>
          <w:w w:val="90"/>
          <w:sz w:val="28"/>
          <w:szCs w:val="28"/>
        </w:rPr>
        <w:t>万元，并带动周边关联产业发展；公司恪守道德规范，在环境保护、能源消耗、安全生产等方面严格执行法律法规，并积极推动公益事业发展，切实履行企业社会责任。</w:t>
      </w:r>
    </w:p>
    <w:p w14:paraId="543B6185">
      <w:pPr>
        <w:numPr>
          <w:ilvl w:val="0"/>
          <w:numId w:val="1"/>
        </w:numPr>
        <w:spacing w:line="360" w:lineRule="auto"/>
        <w:rPr>
          <w:rFonts w:hint="eastAsia" w:ascii="宋体" w:hAnsi="宋体"/>
          <w:b/>
          <w:w w:val="90"/>
          <w:sz w:val="28"/>
          <w:szCs w:val="28"/>
        </w:rPr>
      </w:pPr>
      <w:r>
        <w:rPr>
          <w:rFonts w:hint="eastAsia" w:ascii="宋体" w:hAnsi="宋体"/>
          <w:b/>
          <w:w w:val="90"/>
          <w:sz w:val="28"/>
          <w:szCs w:val="28"/>
        </w:rPr>
        <w:t>注重文化建设的社会责任</w:t>
      </w:r>
    </w:p>
    <w:p w14:paraId="04540721">
      <w:pPr>
        <w:spacing w:line="360" w:lineRule="auto"/>
        <w:ind w:left="560"/>
        <w:rPr>
          <w:rFonts w:hint="eastAsia" w:ascii="宋体" w:hAnsi="宋体"/>
          <w:w w:val="90"/>
          <w:sz w:val="28"/>
          <w:szCs w:val="28"/>
        </w:rPr>
      </w:pPr>
      <w:r>
        <w:rPr>
          <w:rFonts w:hint="eastAsia" w:ascii="宋体" w:hAnsi="宋体"/>
          <w:w w:val="90"/>
          <w:sz w:val="28"/>
          <w:szCs w:val="28"/>
        </w:rPr>
        <w:t>公司管理层十分重视企业文化建设，提出了公司的价值观和愿景；</w:t>
      </w:r>
    </w:p>
    <w:p w14:paraId="7EBD7B3F">
      <w:pPr>
        <w:pStyle w:val="184"/>
        <w:numPr>
          <w:ilvl w:val="0"/>
          <w:numId w:val="2"/>
        </w:numPr>
        <w:adjustRightInd w:val="0"/>
        <w:spacing w:line="360" w:lineRule="auto"/>
        <w:ind w:firstLineChars="0"/>
        <w:rPr>
          <w:rFonts w:ascii="宋体"/>
          <w:b/>
          <w:w w:val="90"/>
          <w:sz w:val="28"/>
          <w:szCs w:val="28"/>
        </w:rPr>
      </w:pPr>
      <w:r>
        <w:rPr>
          <w:rFonts w:hint="eastAsia" w:ascii="宋体" w:hAnsi="宋体"/>
          <w:b/>
          <w:w w:val="90"/>
          <w:sz w:val="28"/>
          <w:szCs w:val="28"/>
        </w:rPr>
        <w:t>企业使命、愿景、价值观及其内涵</w:t>
      </w:r>
    </w:p>
    <w:p w14:paraId="0A7A50ED">
      <w:pPr>
        <w:numPr>
          <w:ilvl w:val="0"/>
          <w:numId w:val="2"/>
        </w:numPr>
        <w:spacing w:line="360" w:lineRule="auto"/>
        <w:rPr>
          <w:rFonts w:hint="eastAsia" w:ascii="宋体" w:hAnsi="宋体"/>
          <w:b/>
          <w:bCs/>
          <w:sz w:val="24"/>
        </w:rPr>
      </w:pPr>
      <w:r>
        <w:rPr>
          <w:rFonts w:hint="eastAsia" w:ascii="宋体" w:hAnsi="宋体"/>
          <w:b/>
          <w:w w:val="90"/>
          <w:sz w:val="28"/>
          <w:szCs w:val="28"/>
        </w:rPr>
        <w:t>公司使命：</w:t>
      </w:r>
      <w:r>
        <w:rPr>
          <w:rFonts w:hint="eastAsia" w:ascii="宋体" w:hAnsi="宋体"/>
          <w:b/>
          <w:bCs/>
          <w:sz w:val="24"/>
          <w:lang w:eastAsia="zh-CN"/>
        </w:rPr>
        <w:t>致力于为社会提供安全、环保、节能的电线电缆产品和服务</w:t>
      </w:r>
      <w:r>
        <w:rPr>
          <w:rFonts w:hint="eastAsia" w:ascii="宋体" w:hAnsi="宋体"/>
          <w:b/>
          <w:bCs/>
          <w:sz w:val="24"/>
        </w:rPr>
        <w:t>。</w:t>
      </w:r>
    </w:p>
    <w:p w14:paraId="792BCB19">
      <w:pPr>
        <w:pStyle w:val="176"/>
        <w:numPr>
          <w:ilvl w:val="0"/>
          <w:numId w:val="3"/>
        </w:numPr>
        <w:adjustRightInd w:val="0"/>
        <w:spacing w:line="360" w:lineRule="auto"/>
        <w:ind w:firstLineChars="0"/>
        <w:rPr>
          <w:rFonts w:hint="eastAsia" w:ascii="宋体" w:hAnsi="宋体"/>
          <w:bCs/>
          <w:spacing w:val="-6"/>
          <w:w w:val="90"/>
          <w:sz w:val="28"/>
          <w:szCs w:val="28"/>
        </w:rPr>
      </w:pPr>
      <w:r>
        <w:rPr>
          <w:rFonts w:hint="eastAsia" w:ascii="宋体" w:hAnsi="宋体"/>
          <w:b/>
          <w:spacing w:val="-6"/>
          <w:w w:val="90"/>
          <w:sz w:val="28"/>
          <w:szCs w:val="28"/>
        </w:rPr>
        <w:t>公司愿景：</w:t>
      </w:r>
      <w:r>
        <w:rPr>
          <w:rFonts w:hint="eastAsia" w:ascii="宋体" w:hAnsi="宋体"/>
          <w:b/>
          <w:bCs/>
          <w:sz w:val="24"/>
          <w:lang w:eastAsia="zh-CN"/>
        </w:rPr>
        <w:t>创电线电缆产业一线品牌、做特种电线电缆产业的开拓者</w:t>
      </w:r>
      <w:r>
        <w:rPr>
          <w:rFonts w:hint="eastAsia" w:ascii="宋体" w:hAnsi="宋体"/>
          <w:b/>
          <w:bCs/>
          <w:sz w:val="24"/>
        </w:rPr>
        <w:t>。</w:t>
      </w:r>
    </w:p>
    <w:p w14:paraId="0B9E32F3">
      <w:pPr>
        <w:pStyle w:val="176"/>
        <w:numPr>
          <w:ilvl w:val="0"/>
          <w:numId w:val="3"/>
        </w:numPr>
        <w:adjustRightInd w:val="0"/>
        <w:spacing w:line="360" w:lineRule="auto"/>
        <w:ind w:firstLineChars="0"/>
        <w:rPr>
          <w:rFonts w:ascii="宋体"/>
          <w:w w:val="90"/>
          <w:sz w:val="28"/>
          <w:szCs w:val="28"/>
        </w:rPr>
      </w:pPr>
      <w:r>
        <w:rPr>
          <w:rFonts w:hint="eastAsia" w:ascii="宋体" w:hAnsi="宋体"/>
          <w:b/>
          <w:w w:val="90"/>
          <w:kern w:val="0"/>
          <w:sz w:val="28"/>
          <w:szCs w:val="28"/>
        </w:rPr>
        <w:t>核心价值观：</w:t>
      </w:r>
      <w:r>
        <w:rPr>
          <w:rFonts w:hint="eastAsia" w:ascii="宋体" w:hAnsi="宋体"/>
          <w:b/>
          <w:bCs/>
          <w:sz w:val="24"/>
          <w:lang w:eastAsia="zh-CN"/>
        </w:rPr>
        <w:t>开拓创新、开辟未来</w:t>
      </w:r>
      <w:r>
        <w:rPr>
          <w:rFonts w:hint="eastAsia" w:ascii="宋体" w:hAnsi="宋体"/>
          <w:b/>
          <w:bCs/>
          <w:sz w:val="24"/>
        </w:rPr>
        <w:t>。</w:t>
      </w:r>
    </w:p>
    <w:p w14:paraId="27419690">
      <w:pPr>
        <w:pStyle w:val="176"/>
        <w:numPr>
          <w:ilvl w:val="0"/>
          <w:numId w:val="3"/>
        </w:numPr>
        <w:adjustRightInd w:val="0"/>
        <w:spacing w:line="360" w:lineRule="auto"/>
        <w:ind w:firstLineChars="0"/>
        <w:rPr>
          <w:rFonts w:ascii="宋体"/>
          <w:w w:val="90"/>
          <w:sz w:val="28"/>
          <w:szCs w:val="28"/>
        </w:rPr>
      </w:pPr>
      <w:r>
        <w:rPr>
          <w:rFonts w:hint="eastAsia" w:ascii="宋体" w:hAnsi="宋体"/>
          <w:b/>
          <w:spacing w:val="-6"/>
          <w:w w:val="90"/>
          <w:sz w:val="28"/>
          <w:szCs w:val="28"/>
        </w:rPr>
        <w:t>公司管理方针：</w:t>
      </w:r>
    </w:p>
    <w:p w14:paraId="4783D2FD">
      <w:pPr>
        <w:spacing w:line="440" w:lineRule="exact"/>
        <w:ind w:firstLine="1687" w:firstLineChars="700"/>
        <w:rPr>
          <w:rFonts w:ascii="宋体" w:hAnsi="宋体" w:eastAsia="宋体" w:cs="宋体"/>
          <w:b/>
          <w:bCs/>
          <w:sz w:val="24"/>
          <w:szCs w:val="24"/>
        </w:rPr>
      </w:pPr>
      <w:r>
        <w:rPr>
          <w:rFonts w:ascii="宋体" w:hAnsi="宋体" w:eastAsia="宋体" w:cs="宋体"/>
          <w:b/>
          <w:bCs/>
          <w:sz w:val="24"/>
          <w:szCs w:val="24"/>
        </w:rPr>
        <w:t xml:space="preserve">累积点滴改进，迈向卓越品质;拒安全事故，保员工健康； </w:t>
      </w:r>
    </w:p>
    <w:p w14:paraId="26AE839C">
      <w:pPr>
        <w:spacing w:line="440" w:lineRule="exact"/>
        <w:ind w:firstLine="1687" w:firstLineChars="700"/>
        <w:rPr>
          <w:rFonts w:hint="eastAsia" w:ascii="华文楷体" w:hAnsi="华文楷体" w:eastAsia="华文楷体"/>
          <w:b/>
          <w:bCs/>
          <w:color w:val="000000"/>
          <w:sz w:val="24"/>
          <w:highlight w:val="none"/>
        </w:rPr>
      </w:pPr>
      <w:r>
        <w:rPr>
          <w:rFonts w:ascii="宋体" w:hAnsi="宋体" w:eastAsia="宋体" w:cs="宋体"/>
          <w:b/>
          <w:bCs/>
          <w:sz w:val="24"/>
          <w:szCs w:val="24"/>
        </w:rPr>
        <w:t>为合作伙伴创造价值,合作伙伴共赢；</w:t>
      </w:r>
      <w:r>
        <w:rPr>
          <w:rFonts w:ascii="宋体" w:hAnsi="宋体" w:eastAsia="宋体" w:cs="宋体"/>
          <w:b/>
          <w:bCs/>
          <w:sz w:val="24"/>
          <w:szCs w:val="24"/>
          <w:highlight w:val="none"/>
        </w:rPr>
        <w:t>为社会创造价值，推进科技进步</w:t>
      </w:r>
      <w:r>
        <w:rPr>
          <w:rFonts w:hint="eastAsia" w:ascii="宋体" w:hAnsi="宋体"/>
          <w:b/>
          <w:bCs/>
          <w:sz w:val="24"/>
          <w:highlight w:val="none"/>
        </w:rPr>
        <w:t>。</w:t>
      </w:r>
    </w:p>
    <w:p w14:paraId="42AF022D">
      <w:pPr>
        <w:spacing w:line="360" w:lineRule="auto"/>
        <w:ind w:firstLine="504" w:firstLineChars="200"/>
        <w:rPr>
          <w:rFonts w:ascii="宋体"/>
          <w:w w:val="90"/>
          <w:sz w:val="28"/>
          <w:szCs w:val="28"/>
        </w:rPr>
      </w:pPr>
      <w:r>
        <w:rPr>
          <w:rFonts w:hint="eastAsia" w:ascii="宋体" w:hAnsi="宋体"/>
          <w:w w:val="90"/>
          <w:sz w:val="28"/>
          <w:szCs w:val="28"/>
        </w:rPr>
        <w:t>公司营造良好的沟通氛围，通过设置总经理信箱、开展合理化建议活动等，广泛听取各层面员工的意见或建议，保持组织内部沟通顺畅；通过走访、洽谈会、研讨会，听取顾客、供方等相关方的意见及建议。公司领导倡导“沟通无限”，建立了互动双向沟通机制，多渠道听取员工及其他相关方要求，多种方式实现不同部门、不同职位、不同地区间的有效沟通，如下</w:t>
      </w:r>
      <w:r>
        <w:rPr>
          <w:rFonts w:hint="eastAsia" w:ascii="宋体"/>
          <w:w w:val="90"/>
          <w:kern w:val="0"/>
          <w:sz w:val="28"/>
          <w:szCs w:val="28"/>
        </w:rPr>
        <w:t>表</w:t>
      </w:r>
      <w:r>
        <w:rPr>
          <w:rFonts w:hint="eastAsia" w:ascii="宋体" w:hAnsi="宋体"/>
          <w:w w:val="90"/>
          <w:sz w:val="28"/>
          <w:szCs w:val="28"/>
        </w:rPr>
        <w:t>。</w:t>
      </w:r>
    </w:p>
    <w:p w14:paraId="28D0A9D4">
      <w:pPr>
        <w:pStyle w:val="130"/>
        <w:spacing w:before="156"/>
        <w:ind w:firstLine="505"/>
        <w:rPr>
          <w:rFonts w:hint="eastAsia"/>
          <w:w w:val="90"/>
          <w:sz w:val="28"/>
          <w:szCs w:val="28"/>
        </w:rPr>
      </w:pPr>
      <w:r>
        <w:rPr>
          <w:rFonts w:hint="eastAsia"/>
          <w:w w:val="90"/>
          <w:sz w:val="28"/>
          <w:szCs w:val="28"/>
        </w:rPr>
        <w:t>企业文化的传播方式</w:t>
      </w:r>
    </w:p>
    <w:tbl>
      <w:tblPr>
        <w:tblStyle w:val="35"/>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9"/>
        <w:gridCol w:w="3174"/>
        <w:gridCol w:w="1080"/>
        <w:gridCol w:w="1310"/>
        <w:gridCol w:w="2250"/>
      </w:tblGrid>
      <w:tr w14:paraId="3D55A4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shd w:val="clear" w:color="auto" w:fill="000080"/>
            <w:noWrap w:val="0"/>
            <w:vAlign w:val="center"/>
          </w:tcPr>
          <w:p w14:paraId="3A8325EB">
            <w:pPr>
              <w:widowControl/>
              <w:jc w:val="center"/>
              <w:rPr>
                <w:rFonts w:ascii="宋体" w:hAnsi="宋体" w:cs="宋体"/>
                <w:b/>
                <w:bCs/>
                <w:kern w:val="0"/>
                <w:szCs w:val="21"/>
              </w:rPr>
            </w:pPr>
            <w:r>
              <w:rPr>
                <w:rFonts w:hint="eastAsia" w:ascii="宋体" w:hAnsi="宋体" w:cs="宋体"/>
                <w:b/>
                <w:bCs/>
                <w:kern w:val="0"/>
                <w:szCs w:val="21"/>
              </w:rPr>
              <w:t>沟通对象</w:t>
            </w:r>
          </w:p>
        </w:tc>
        <w:tc>
          <w:tcPr>
            <w:tcW w:w="3174" w:type="dxa"/>
            <w:shd w:val="clear" w:color="auto" w:fill="000080"/>
            <w:noWrap w:val="0"/>
            <w:vAlign w:val="center"/>
          </w:tcPr>
          <w:p w14:paraId="3EFBA389">
            <w:pPr>
              <w:widowControl/>
              <w:jc w:val="center"/>
              <w:rPr>
                <w:rFonts w:ascii="宋体" w:hAnsi="宋体" w:cs="宋体"/>
                <w:b/>
                <w:bCs/>
                <w:kern w:val="0"/>
                <w:szCs w:val="21"/>
              </w:rPr>
            </w:pPr>
            <w:r>
              <w:rPr>
                <w:rFonts w:hint="eastAsia" w:ascii="宋体" w:hAnsi="宋体" w:cs="宋体"/>
                <w:b/>
                <w:bCs/>
                <w:kern w:val="0"/>
                <w:szCs w:val="21"/>
              </w:rPr>
              <w:t>沟通方式</w:t>
            </w:r>
          </w:p>
        </w:tc>
        <w:tc>
          <w:tcPr>
            <w:tcW w:w="1080" w:type="dxa"/>
            <w:shd w:val="clear" w:color="auto" w:fill="000080"/>
            <w:noWrap w:val="0"/>
            <w:vAlign w:val="center"/>
          </w:tcPr>
          <w:p w14:paraId="67199119">
            <w:pPr>
              <w:widowControl/>
              <w:jc w:val="center"/>
              <w:rPr>
                <w:rFonts w:ascii="宋体" w:hAnsi="宋体" w:cs="宋体"/>
                <w:b/>
                <w:bCs/>
                <w:kern w:val="0"/>
                <w:szCs w:val="21"/>
              </w:rPr>
            </w:pPr>
            <w:r>
              <w:rPr>
                <w:rFonts w:hint="eastAsia" w:ascii="宋体" w:hAnsi="宋体" w:cs="宋体"/>
                <w:b/>
                <w:bCs/>
                <w:kern w:val="0"/>
                <w:szCs w:val="21"/>
              </w:rPr>
              <w:t>沟通频次</w:t>
            </w:r>
          </w:p>
        </w:tc>
        <w:tc>
          <w:tcPr>
            <w:tcW w:w="1310" w:type="dxa"/>
            <w:shd w:val="clear" w:color="auto" w:fill="000080"/>
            <w:noWrap w:val="0"/>
            <w:vAlign w:val="center"/>
          </w:tcPr>
          <w:p w14:paraId="7C3C65CE">
            <w:pPr>
              <w:widowControl/>
              <w:jc w:val="center"/>
              <w:rPr>
                <w:rFonts w:ascii="宋体" w:hAnsi="宋体" w:cs="宋体"/>
                <w:b/>
                <w:bCs/>
                <w:kern w:val="0"/>
                <w:szCs w:val="21"/>
              </w:rPr>
            </w:pPr>
            <w:r>
              <w:rPr>
                <w:rFonts w:hint="eastAsia" w:ascii="宋体" w:hAnsi="宋体" w:cs="宋体"/>
                <w:b/>
                <w:bCs/>
                <w:kern w:val="0"/>
                <w:szCs w:val="21"/>
              </w:rPr>
              <w:t>沟通方向</w:t>
            </w:r>
          </w:p>
        </w:tc>
        <w:tc>
          <w:tcPr>
            <w:tcW w:w="2250" w:type="dxa"/>
            <w:shd w:val="clear" w:color="auto" w:fill="000080"/>
            <w:noWrap w:val="0"/>
            <w:vAlign w:val="center"/>
          </w:tcPr>
          <w:p w14:paraId="4129B105">
            <w:pPr>
              <w:widowControl/>
              <w:jc w:val="center"/>
              <w:rPr>
                <w:rFonts w:ascii="宋体" w:hAnsi="宋体" w:cs="宋体"/>
                <w:b/>
                <w:bCs/>
                <w:kern w:val="0"/>
                <w:szCs w:val="21"/>
              </w:rPr>
            </w:pPr>
            <w:r>
              <w:rPr>
                <w:rFonts w:hint="eastAsia" w:ascii="宋体" w:hAnsi="宋体" w:cs="宋体"/>
                <w:b/>
                <w:bCs/>
                <w:kern w:val="0"/>
                <w:szCs w:val="21"/>
              </w:rPr>
              <w:t>沟通内容</w:t>
            </w:r>
          </w:p>
        </w:tc>
      </w:tr>
      <w:tr w14:paraId="3B8631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restart"/>
            <w:noWrap w:val="0"/>
            <w:vAlign w:val="center"/>
          </w:tcPr>
          <w:p w14:paraId="19BAA2A1">
            <w:pPr>
              <w:widowControl/>
              <w:jc w:val="center"/>
              <w:rPr>
                <w:rFonts w:ascii="宋体" w:hAnsi="宋体" w:cs="宋体"/>
                <w:b/>
                <w:bCs/>
                <w:kern w:val="0"/>
                <w:szCs w:val="21"/>
              </w:rPr>
            </w:pPr>
            <w:r>
              <w:rPr>
                <w:rFonts w:hint="eastAsia" w:ascii="宋体" w:hAnsi="宋体" w:cs="宋体"/>
                <w:b/>
                <w:bCs/>
                <w:kern w:val="0"/>
                <w:szCs w:val="21"/>
              </w:rPr>
              <w:t>内部员工</w:t>
            </w:r>
          </w:p>
        </w:tc>
        <w:tc>
          <w:tcPr>
            <w:tcW w:w="3174" w:type="dxa"/>
            <w:noWrap w:val="0"/>
            <w:vAlign w:val="center"/>
          </w:tcPr>
          <w:p w14:paraId="40280336">
            <w:pPr>
              <w:widowControl/>
              <w:jc w:val="center"/>
              <w:rPr>
                <w:rFonts w:ascii="宋体" w:hAnsi="宋体" w:cs="宋体"/>
                <w:kern w:val="0"/>
                <w:szCs w:val="21"/>
              </w:rPr>
            </w:pPr>
            <w:r>
              <w:rPr>
                <w:rFonts w:hint="eastAsia" w:ascii="宋体" w:hAnsi="宋体" w:cs="宋体"/>
                <w:kern w:val="0"/>
                <w:szCs w:val="21"/>
              </w:rPr>
              <w:t>员工手册</w:t>
            </w:r>
          </w:p>
        </w:tc>
        <w:tc>
          <w:tcPr>
            <w:tcW w:w="1080" w:type="dxa"/>
            <w:noWrap w:val="0"/>
            <w:vAlign w:val="center"/>
          </w:tcPr>
          <w:p w14:paraId="7A3C10D0">
            <w:pPr>
              <w:widowControl/>
              <w:jc w:val="center"/>
              <w:rPr>
                <w:rFonts w:ascii="宋体" w:hAnsi="宋体" w:cs="宋体"/>
                <w:kern w:val="0"/>
                <w:szCs w:val="21"/>
              </w:rPr>
            </w:pPr>
            <w:r>
              <w:rPr>
                <w:rFonts w:hint="eastAsia" w:ascii="宋体" w:hAnsi="宋体" w:cs="宋体"/>
                <w:kern w:val="0"/>
                <w:szCs w:val="21"/>
              </w:rPr>
              <w:t>长期</w:t>
            </w:r>
          </w:p>
        </w:tc>
        <w:tc>
          <w:tcPr>
            <w:tcW w:w="1310" w:type="dxa"/>
            <w:noWrap w:val="0"/>
            <w:vAlign w:val="center"/>
          </w:tcPr>
          <w:p w14:paraId="5B6B029B">
            <w:pPr>
              <w:widowControl/>
              <w:jc w:val="center"/>
              <w:rPr>
                <w:rFonts w:ascii="宋体" w:hAnsi="宋体" w:cs="宋体"/>
                <w:kern w:val="0"/>
                <w:szCs w:val="21"/>
              </w:rPr>
            </w:pPr>
            <w:r>
              <w:rPr>
                <w:rFonts w:hint="eastAsia" w:ascii="宋体" w:hAnsi="宋体" w:cs="宋体"/>
                <w:kern w:val="0"/>
                <w:szCs w:val="21"/>
              </w:rPr>
              <w:t>双向</w:t>
            </w:r>
          </w:p>
        </w:tc>
        <w:tc>
          <w:tcPr>
            <w:tcW w:w="2250" w:type="dxa"/>
            <w:vMerge w:val="restart"/>
            <w:noWrap w:val="0"/>
            <w:vAlign w:val="center"/>
          </w:tcPr>
          <w:p w14:paraId="778D0FE8">
            <w:pPr>
              <w:widowControl/>
              <w:jc w:val="left"/>
              <w:rPr>
                <w:rFonts w:ascii="宋体" w:hAnsi="宋体" w:cs="宋体"/>
                <w:kern w:val="0"/>
                <w:szCs w:val="21"/>
              </w:rPr>
            </w:pPr>
            <w:r>
              <w:rPr>
                <w:rFonts w:hint="eastAsia" w:ascii="宋体" w:hAnsi="宋体" w:cs="宋体"/>
                <w:kern w:val="0"/>
                <w:szCs w:val="21"/>
              </w:rPr>
              <w:t>企业文化、企业目标、员工对企业的建议，包括：企业的核心价值观、精神、愿景、战略目标、发展方向、绩效期望、公司动态、经营情况；听取、收集员工的心声和合理化建议</w:t>
            </w:r>
          </w:p>
        </w:tc>
      </w:tr>
      <w:tr w14:paraId="68531B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noWrap w:val="0"/>
            <w:vAlign w:val="center"/>
          </w:tcPr>
          <w:p w14:paraId="4CBD683D">
            <w:pPr>
              <w:widowControl/>
              <w:jc w:val="left"/>
              <w:rPr>
                <w:rFonts w:ascii="宋体" w:hAnsi="宋体" w:cs="宋体"/>
                <w:b/>
                <w:bCs/>
                <w:kern w:val="0"/>
                <w:szCs w:val="21"/>
              </w:rPr>
            </w:pPr>
          </w:p>
        </w:tc>
        <w:tc>
          <w:tcPr>
            <w:tcW w:w="3174" w:type="dxa"/>
            <w:noWrap w:val="0"/>
            <w:vAlign w:val="center"/>
          </w:tcPr>
          <w:p w14:paraId="14892408">
            <w:pPr>
              <w:widowControl/>
              <w:jc w:val="center"/>
              <w:rPr>
                <w:rFonts w:ascii="宋体" w:hAnsi="宋体" w:cs="宋体"/>
                <w:kern w:val="0"/>
                <w:szCs w:val="21"/>
              </w:rPr>
            </w:pPr>
            <w:r>
              <w:rPr>
                <w:rFonts w:hint="eastAsia" w:ascii="宋体" w:hAnsi="宋体" w:cs="宋体"/>
                <w:kern w:val="0"/>
                <w:szCs w:val="21"/>
              </w:rPr>
              <w:t>管理制度、质量管理体系、环境管理体系、职业健康安全体系</w:t>
            </w:r>
          </w:p>
        </w:tc>
        <w:tc>
          <w:tcPr>
            <w:tcW w:w="1080" w:type="dxa"/>
            <w:noWrap w:val="0"/>
            <w:vAlign w:val="center"/>
          </w:tcPr>
          <w:p w14:paraId="2575836F">
            <w:pPr>
              <w:widowControl/>
              <w:jc w:val="center"/>
              <w:rPr>
                <w:rFonts w:ascii="宋体" w:hAnsi="宋体" w:cs="宋体"/>
                <w:kern w:val="0"/>
                <w:szCs w:val="21"/>
              </w:rPr>
            </w:pPr>
            <w:r>
              <w:rPr>
                <w:rFonts w:hint="eastAsia" w:ascii="宋体" w:hAnsi="宋体" w:cs="宋体"/>
                <w:kern w:val="0"/>
                <w:szCs w:val="21"/>
              </w:rPr>
              <w:t>每年</w:t>
            </w:r>
          </w:p>
        </w:tc>
        <w:tc>
          <w:tcPr>
            <w:tcW w:w="1310" w:type="dxa"/>
            <w:noWrap w:val="0"/>
            <w:vAlign w:val="center"/>
          </w:tcPr>
          <w:p w14:paraId="6A9B83F1">
            <w:pPr>
              <w:widowControl/>
              <w:jc w:val="center"/>
              <w:rPr>
                <w:rFonts w:ascii="宋体" w:hAnsi="宋体" w:cs="宋体"/>
                <w:kern w:val="0"/>
                <w:szCs w:val="21"/>
              </w:rPr>
            </w:pPr>
            <w:r>
              <w:rPr>
                <w:rFonts w:hint="eastAsia" w:ascii="宋体" w:hAnsi="宋体" w:cs="宋体"/>
                <w:kern w:val="0"/>
                <w:szCs w:val="21"/>
              </w:rPr>
              <w:t>向下及互动</w:t>
            </w:r>
          </w:p>
        </w:tc>
        <w:tc>
          <w:tcPr>
            <w:tcW w:w="2250" w:type="dxa"/>
            <w:vMerge w:val="continue"/>
            <w:noWrap w:val="0"/>
            <w:vAlign w:val="center"/>
          </w:tcPr>
          <w:p w14:paraId="3FF11E2D">
            <w:pPr>
              <w:widowControl/>
              <w:jc w:val="left"/>
              <w:rPr>
                <w:rFonts w:ascii="宋体" w:hAnsi="宋体" w:cs="宋体"/>
                <w:kern w:val="0"/>
                <w:szCs w:val="21"/>
              </w:rPr>
            </w:pPr>
          </w:p>
        </w:tc>
      </w:tr>
      <w:tr w14:paraId="33A908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noWrap w:val="0"/>
            <w:vAlign w:val="center"/>
          </w:tcPr>
          <w:p w14:paraId="43363EED">
            <w:pPr>
              <w:widowControl/>
              <w:jc w:val="left"/>
              <w:rPr>
                <w:rFonts w:ascii="宋体" w:hAnsi="宋体" w:cs="宋体"/>
                <w:b/>
                <w:bCs/>
                <w:kern w:val="0"/>
                <w:szCs w:val="21"/>
              </w:rPr>
            </w:pPr>
          </w:p>
        </w:tc>
        <w:tc>
          <w:tcPr>
            <w:tcW w:w="3174" w:type="dxa"/>
            <w:noWrap w:val="0"/>
            <w:vAlign w:val="center"/>
          </w:tcPr>
          <w:p w14:paraId="33C284E2">
            <w:pPr>
              <w:widowControl/>
              <w:jc w:val="center"/>
              <w:rPr>
                <w:rFonts w:ascii="宋体" w:hAnsi="宋体" w:cs="宋体"/>
                <w:kern w:val="0"/>
                <w:szCs w:val="21"/>
              </w:rPr>
            </w:pPr>
            <w:r>
              <w:rPr>
                <w:rFonts w:hint="eastAsia" w:ascii="宋体" w:hAnsi="宋体" w:cs="宋体"/>
                <w:kern w:val="0"/>
                <w:szCs w:val="21"/>
              </w:rPr>
              <w:t>公司内部微信群</w:t>
            </w:r>
          </w:p>
        </w:tc>
        <w:tc>
          <w:tcPr>
            <w:tcW w:w="1080" w:type="dxa"/>
            <w:noWrap w:val="0"/>
            <w:vAlign w:val="center"/>
          </w:tcPr>
          <w:p w14:paraId="4B481AC8">
            <w:pPr>
              <w:widowControl/>
              <w:jc w:val="center"/>
              <w:rPr>
                <w:rFonts w:ascii="宋体" w:hAnsi="宋体" w:cs="宋体"/>
                <w:kern w:val="0"/>
                <w:szCs w:val="21"/>
              </w:rPr>
            </w:pPr>
            <w:r>
              <w:rPr>
                <w:rFonts w:hint="eastAsia" w:ascii="宋体" w:hAnsi="宋体" w:cs="宋体"/>
                <w:kern w:val="0"/>
                <w:szCs w:val="21"/>
              </w:rPr>
              <w:t>随时</w:t>
            </w:r>
          </w:p>
        </w:tc>
        <w:tc>
          <w:tcPr>
            <w:tcW w:w="1310" w:type="dxa"/>
            <w:noWrap w:val="0"/>
            <w:vAlign w:val="center"/>
          </w:tcPr>
          <w:p w14:paraId="58D8F346">
            <w:pPr>
              <w:widowControl/>
              <w:jc w:val="center"/>
              <w:rPr>
                <w:rFonts w:ascii="宋体" w:hAnsi="宋体" w:cs="宋体"/>
                <w:kern w:val="0"/>
                <w:szCs w:val="21"/>
              </w:rPr>
            </w:pPr>
            <w:r>
              <w:rPr>
                <w:rFonts w:hint="eastAsia" w:ascii="宋体" w:hAnsi="宋体" w:cs="宋体"/>
                <w:kern w:val="0"/>
                <w:szCs w:val="21"/>
              </w:rPr>
              <w:t>双向互动</w:t>
            </w:r>
          </w:p>
        </w:tc>
        <w:tc>
          <w:tcPr>
            <w:tcW w:w="2250" w:type="dxa"/>
            <w:vMerge w:val="continue"/>
            <w:noWrap w:val="0"/>
            <w:vAlign w:val="center"/>
          </w:tcPr>
          <w:p w14:paraId="0231A404">
            <w:pPr>
              <w:widowControl/>
              <w:jc w:val="left"/>
              <w:rPr>
                <w:rFonts w:ascii="宋体" w:hAnsi="宋体" w:cs="宋体"/>
                <w:kern w:val="0"/>
                <w:szCs w:val="21"/>
              </w:rPr>
            </w:pPr>
          </w:p>
        </w:tc>
      </w:tr>
      <w:tr w14:paraId="30E474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noWrap w:val="0"/>
            <w:vAlign w:val="center"/>
          </w:tcPr>
          <w:p w14:paraId="72F8469B">
            <w:pPr>
              <w:widowControl/>
              <w:jc w:val="left"/>
              <w:rPr>
                <w:rFonts w:ascii="宋体" w:hAnsi="宋体" w:cs="宋体"/>
                <w:b/>
                <w:bCs/>
                <w:kern w:val="0"/>
                <w:szCs w:val="21"/>
              </w:rPr>
            </w:pPr>
          </w:p>
        </w:tc>
        <w:tc>
          <w:tcPr>
            <w:tcW w:w="3174" w:type="dxa"/>
            <w:noWrap w:val="0"/>
            <w:vAlign w:val="center"/>
          </w:tcPr>
          <w:p w14:paraId="4FF3C182">
            <w:pPr>
              <w:widowControl/>
              <w:jc w:val="center"/>
              <w:rPr>
                <w:rFonts w:ascii="宋体" w:hAnsi="宋体" w:cs="宋体"/>
                <w:kern w:val="0"/>
                <w:szCs w:val="21"/>
              </w:rPr>
            </w:pPr>
            <w:r>
              <w:rPr>
                <w:rFonts w:hint="eastAsia" w:ascii="宋体" w:hAnsi="宋体" w:cs="宋体"/>
                <w:kern w:val="0"/>
                <w:szCs w:val="21"/>
              </w:rPr>
              <w:t>宣传橱窗、车间看板</w:t>
            </w:r>
          </w:p>
        </w:tc>
        <w:tc>
          <w:tcPr>
            <w:tcW w:w="1080" w:type="dxa"/>
            <w:noWrap w:val="0"/>
            <w:vAlign w:val="center"/>
          </w:tcPr>
          <w:p w14:paraId="3D6AF298">
            <w:pPr>
              <w:widowControl/>
              <w:jc w:val="center"/>
              <w:rPr>
                <w:rFonts w:ascii="宋体" w:hAnsi="宋体" w:cs="宋体"/>
                <w:kern w:val="0"/>
                <w:szCs w:val="21"/>
              </w:rPr>
            </w:pPr>
            <w:r>
              <w:rPr>
                <w:rFonts w:hint="eastAsia" w:ascii="宋体" w:hAnsi="宋体" w:cs="宋体"/>
                <w:kern w:val="0"/>
                <w:szCs w:val="21"/>
              </w:rPr>
              <w:t>每月</w:t>
            </w:r>
          </w:p>
        </w:tc>
        <w:tc>
          <w:tcPr>
            <w:tcW w:w="1310" w:type="dxa"/>
            <w:noWrap w:val="0"/>
            <w:vAlign w:val="center"/>
          </w:tcPr>
          <w:p w14:paraId="7636C60E">
            <w:pPr>
              <w:widowControl/>
              <w:jc w:val="center"/>
              <w:rPr>
                <w:rFonts w:ascii="宋体" w:hAnsi="宋体" w:cs="宋体"/>
                <w:kern w:val="0"/>
                <w:szCs w:val="21"/>
              </w:rPr>
            </w:pPr>
            <w:r>
              <w:rPr>
                <w:rFonts w:hint="eastAsia" w:ascii="宋体" w:hAnsi="宋体" w:cs="宋体"/>
                <w:kern w:val="0"/>
                <w:szCs w:val="21"/>
              </w:rPr>
              <w:t>双向互动</w:t>
            </w:r>
          </w:p>
        </w:tc>
        <w:tc>
          <w:tcPr>
            <w:tcW w:w="2250" w:type="dxa"/>
            <w:vMerge w:val="continue"/>
            <w:noWrap w:val="0"/>
            <w:vAlign w:val="center"/>
          </w:tcPr>
          <w:p w14:paraId="768813FC">
            <w:pPr>
              <w:widowControl/>
              <w:jc w:val="left"/>
              <w:rPr>
                <w:rFonts w:ascii="宋体" w:hAnsi="宋体" w:cs="宋体"/>
                <w:kern w:val="0"/>
                <w:szCs w:val="21"/>
              </w:rPr>
            </w:pPr>
          </w:p>
        </w:tc>
      </w:tr>
      <w:tr w14:paraId="458F12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noWrap w:val="0"/>
            <w:vAlign w:val="center"/>
          </w:tcPr>
          <w:p w14:paraId="3C32751B">
            <w:pPr>
              <w:widowControl/>
              <w:jc w:val="left"/>
              <w:rPr>
                <w:rFonts w:ascii="宋体" w:hAnsi="宋体" w:cs="宋体"/>
                <w:b/>
                <w:bCs/>
                <w:kern w:val="0"/>
                <w:szCs w:val="21"/>
              </w:rPr>
            </w:pPr>
          </w:p>
        </w:tc>
        <w:tc>
          <w:tcPr>
            <w:tcW w:w="3174" w:type="dxa"/>
            <w:noWrap w:val="0"/>
            <w:vAlign w:val="center"/>
          </w:tcPr>
          <w:p w14:paraId="3ABCDC6C">
            <w:pPr>
              <w:widowControl/>
              <w:jc w:val="center"/>
              <w:rPr>
                <w:rFonts w:ascii="宋体" w:hAnsi="宋体" w:cs="宋体"/>
                <w:kern w:val="0"/>
                <w:szCs w:val="21"/>
              </w:rPr>
            </w:pPr>
            <w:r>
              <w:rPr>
                <w:rFonts w:hint="eastAsia" w:ascii="宋体" w:hAnsi="宋体" w:cs="宋体"/>
                <w:kern w:val="0"/>
                <w:szCs w:val="21"/>
              </w:rPr>
              <w:t>总结会、表彰会、项目启动会等</w:t>
            </w:r>
          </w:p>
        </w:tc>
        <w:tc>
          <w:tcPr>
            <w:tcW w:w="1080" w:type="dxa"/>
            <w:noWrap w:val="0"/>
            <w:vAlign w:val="center"/>
          </w:tcPr>
          <w:p w14:paraId="1ED02458">
            <w:pPr>
              <w:widowControl/>
              <w:jc w:val="center"/>
              <w:rPr>
                <w:rFonts w:ascii="宋体" w:hAnsi="宋体" w:cs="宋体"/>
                <w:kern w:val="0"/>
                <w:szCs w:val="21"/>
              </w:rPr>
            </w:pPr>
            <w:r>
              <w:rPr>
                <w:rFonts w:hint="eastAsia" w:ascii="宋体" w:hAnsi="宋体" w:cs="宋体"/>
                <w:kern w:val="0"/>
                <w:szCs w:val="21"/>
              </w:rPr>
              <w:t>每年</w:t>
            </w:r>
          </w:p>
        </w:tc>
        <w:tc>
          <w:tcPr>
            <w:tcW w:w="1310" w:type="dxa"/>
            <w:vMerge w:val="restart"/>
            <w:noWrap w:val="0"/>
            <w:vAlign w:val="center"/>
          </w:tcPr>
          <w:p w14:paraId="0DB2D613">
            <w:pPr>
              <w:widowControl/>
              <w:jc w:val="center"/>
              <w:rPr>
                <w:rFonts w:ascii="宋体" w:hAnsi="宋体" w:cs="宋体"/>
                <w:kern w:val="0"/>
                <w:szCs w:val="21"/>
              </w:rPr>
            </w:pPr>
            <w:r>
              <w:rPr>
                <w:rFonts w:hint="eastAsia" w:ascii="宋体" w:hAnsi="宋体" w:cs="宋体"/>
                <w:kern w:val="0"/>
                <w:szCs w:val="21"/>
              </w:rPr>
              <w:t>互动及向下</w:t>
            </w:r>
          </w:p>
        </w:tc>
        <w:tc>
          <w:tcPr>
            <w:tcW w:w="2250" w:type="dxa"/>
            <w:vMerge w:val="continue"/>
            <w:noWrap w:val="0"/>
            <w:vAlign w:val="center"/>
          </w:tcPr>
          <w:p w14:paraId="68D3031D">
            <w:pPr>
              <w:widowControl/>
              <w:jc w:val="left"/>
              <w:rPr>
                <w:rFonts w:ascii="宋体" w:hAnsi="宋体" w:cs="宋体"/>
                <w:kern w:val="0"/>
                <w:szCs w:val="21"/>
              </w:rPr>
            </w:pPr>
          </w:p>
        </w:tc>
      </w:tr>
      <w:tr w14:paraId="7186E3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noWrap w:val="0"/>
            <w:vAlign w:val="center"/>
          </w:tcPr>
          <w:p w14:paraId="3ECF035C">
            <w:pPr>
              <w:widowControl/>
              <w:jc w:val="left"/>
              <w:rPr>
                <w:rFonts w:ascii="宋体" w:hAnsi="宋体" w:cs="宋体"/>
                <w:b/>
                <w:bCs/>
                <w:kern w:val="0"/>
                <w:szCs w:val="21"/>
              </w:rPr>
            </w:pPr>
          </w:p>
        </w:tc>
        <w:tc>
          <w:tcPr>
            <w:tcW w:w="3174" w:type="dxa"/>
            <w:noWrap w:val="0"/>
            <w:vAlign w:val="center"/>
          </w:tcPr>
          <w:p w14:paraId="4CE634A2">
            <w:pPr>
              <w:widowControl/>
              <w:jc w:val="center"/>
              <w:rPr>
                <w:rFonts w:ascii="宋体" w:hAnsi="宋体" w:cs="宋体"/>
                <w:kern w:val="0"/>
                <w:szCs w:val="21"/>
              </w:rPr>
            </w:pPr>
            <w:r>
              <w:rPr>
                <w:rFonts w:hint="eastAsia" w:ascii="宋体" w:hAnsi="宋体" w:cs="宋体"/>
                <w:kern w:val="0"/>
                <w:szCs w:val="21"/>
              </w:rPr>
              <w:t>各种形式员工座谈会</w:t>
            </w:r>
          </w:p>
        </w:tc>
        <w:tc>
          <w:tcPr>
            <w:tcW w:w="1080" w:type="dxa"/>
            <w:noWrap w:val="0"/>
            <w:vAlign w:val="center"/>
          </w:tcPr>
          <w:p w14:paraId="36EFB071">
            <w:pPr>
              <w:widowControl/>
              <w:jc w:val="center"/>
              <w:rPr>
                <w:rFonts w:ascii="宋体" w:hAnsi="宋体" w:cs="宋体"/>
                <w:kern w:val="0"/>
                <w:szCs w:val="21"/>
              </w:rPr>
            </w:pPr>
            <w:r>
              <w:rPr>
                <w:rFonts w:hint="eastAsia" w:ascii="宋体" w:hAnsi="宋体" w:cs="宋体"/>
                <w:kern w:val="0"/>
                <w:szCs w:val="21"/>
              </w:rPr>
              <w:t>每月</w:t>
            </w:r>
          </w:p>
        </w:tc>
        <w:tc>
          <w:tcPr>
            <w:tcW w:w="1310" w:type="dxa"/>
            <w:vMerge w:val="continue"/>
            <w:noWrap w:val="0"/>
            <w:vAlign w:val="center"/>
          </w:tcPr>
          <w:p w14:paraId="70454C3E">
            <w:pPr>
              <w:widowControl/>
              <w:jc w:val="left"/>
              <w:rPr>
                <w:rFonts w:ascii="宋体" w:hAnsi="宋体" w:cs="宋体"/>
                <w:kern w:val="0"/>
                <w:szCs w:val="21"/>
              </w:rPr>
            </w:pPr>
          </w:p>
        </w:tc>
        <w:tc>
          <w:tcPr>
            <w:tcW w:w="2250" w:type="dxa"/>
            <w:vMerge w:val="continue"/>
            <w:noWrap w:val="0"/>
            <w:vAlign w:val="center"/>
          </w:tcPr>
          <w:p w14:paraId="38D856DD">
            <w:pPr>
              <w:widowControl/>
              <w:jc w:val="left"/>
              <w:rPr>
                <w:rFonts w:ascii="宋体" w:hAnsi="宋体" w:cs="宋体"/>
                <w:kern w:val="0"/>
                <w:szCs w:val="21"/>
              </w:rPr>
            </w:pPr>
          </w:p>
        </w:tc>
      </w:tr>
      <w:tr w14:paraId="438B1B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noWrap w:val="0"/>
            <w:vAlign w:val="center"/>
          </w:tcPr>
          <w:p w14:paraId="0BAD7215">
            <w:pPr>
              <w:widowControl/>
              <w:jc w:val="left"/>
              <w:rPr>
                <w:rFonts w:ascii="宋体" w:hAnsi="宋体" w:cs="宋体"/>
                <w:b/>
                <w:bCs/>
                <w:kern w:val="0"/>
                <w:szCs w:val="21"/>
              </w:rPr>
            </w:pPr>
          </w:p>
        </w:tc>
        <w:tc>
          <w:tcPr>
            <w:tcW w:w="3174" w:type="dxa"/>
            <w:noWrap w:val="0"/>
            <w:vAlign w:val="center"/>
          </w:tcPr>
          <w:p w14:paraId="170F1E57">
            <w:pPr>
              <w:widowControl/>
              <w:jc w:val="center"/>
              <w:rPr>
                <w:rFonts w:ascii="宋体" w:hAnsi="宋体" w:cs="宋体"/>
                <w:kern w:val="0"/>
                <w:szCs w:val="21"/>
              </w:rPr>
            </w:pPr>
            <w:r>
              <w:rPr>
                <w:rFonts w:hint="eastAsia" w:ascii="宋体" w:hAnsi="宋体" w:cs="宋体"/>
                <w:kern w:val="0"/>
                <w:szCs w:val="21"/>
              </w:rPr>
              <w:t>员工的教育和培训（内外训、领导授课、劳动竞赛等）</w:t>
            </w:r>
          </w:p>
        </w:tc>
        <w:tc>
          <w:tcPr>
            <w:tcW w:w="1080" w:type="dxa"/>
            <w:noWrap w:val="0"/>
            <w:vAlign w:val="center"/>
          </w:tcPr>
          <w:p w14:paraId="4B29BEA1">
            <w:pPr>
              <w:widowControl/>
              <w:jc w:val="center"/>
              <w:rPr>
                <w:rFonts w:ascii="宋体" w:hAnsi="宋体" w:cs="宋体"/>
                <w:kern w:val="0"/>
                <w:szCs w:val="21"/>
              </w:rPr>
            </w:pPr>
            <w:r>
              <w:rPr>
                <w:rFonts w:hint="eastAsia" w:ascii="宋体" w:hAnsi="宋体" w:cs="宋体"/>
                <w:kern w:val="0"/>
                <w:szCs w:val="21"/>
              </w:rPr>
              <w:t>按计划</w:t>
            </w:r>
          </w:p>
        </w:tc>
        <w:tc>
          <w:tcPr>
            <w:tcW w:w="1310" w:type="dxa"/>
            <w:noWrap w:val="0"/>
            <w:vAlign w:val="center"/>
          </w:tcPr>
          <w:p w14:paraId="143C8575">
            <w:pPr>
              <w:widowControl/>
              <w:jc w:val="center"/>
              <w:rPr>
                <w:rFonts w:ascii="宋体" w:hAnsi="宋体" w:cs="宋体"/>
                <w:kern w:val="0"/>
                <w:szCs w:val="21"/>
              </w:rPr>
            </w:pPr>
            <w:r>
              <w:rPr>
                <w:rFonts w:hint="eastAsia" w:ascii="宋体" w:hAnsi="宋体" w:cs="宋体"/>
                <w:kern w:val="0"/>
                <w:szCs w:val="21"/>
              </w:rPr>
              <w:t>向下及互动</w:t>
            </w:r>
          </w:p>
        </w:tc>
        <w:tc>
          <w:tcPr>
            <w:tcW w:w="2250" w:type="dxa"/>
            <w:vMerge w:val="continue"/>
            <w:noWrap w:val="0"/>
            <w:vAlign w:val="center"/>
          </w:tcPr>
          <w:p w14:paraId="41C21166">
            <w:pPr>
              <w:widowControl/>
              <w:jc w:val="left"/>
              <w:rPr>
                <w:rFonts w:ascii="宋体" w:hAnsi="宋体" w:cs="宋体"/>
                <w:kern w:val="0"/>
                <w:szCs w:val="21"/>
              </w:rPr>
            </w:pPr>
          </w:p>
        </w:tc>
      </w:tr>
      <w:tr w14:paraId="24ED68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noWrap w:val="0"/>
            <w:vAlign w:val="center"/>
          </w:tcPr>
          <w:p w14:paraId="4E591904">
            <w:pPr>
              <w:widowControl/>
              <w:jc w:val="left"/>
              <w:rPr>
                <w:rFonts w:ascii="宋体" w:hAnsi="宋体" w:cs="宋体"/>
                <w:b/>
                <w:bCs/>
                <w:kern w:val="0"/>
                <w:szCs w:val="21"/>
              </w:rPr>
            </w:pPr>
          </w:p>
        </w:tc>
        <w:tc>
          <w:tcPr>
            <w:tcW w:w="3174" w:type="dxa"/>
            <w:noWrap w:val="0"/>
            <w:vAlign w:val="center"/>
          </w:tcPr>
          <w:p w14:paraId="6F6960BD">
            <w:pPr>
              <w:widowControl/>
              <w:jc w:val="center"/>
              <w:rPr>
                <w:rFonts w:ascii="宋体" w:hAnsi="宋体" w:cs="宋体"/>
                <w:kern w:val="0"/>
                <w:szCs w:val="21"/>
              </w:rPr>
            </w:pPr>
            <w:r>
              <w:rPr>
                <w:rFonts w:hint="eastAsia" w:ascii="宋体" w:hAnsi="宋体" w:cs="宋体"/>
                <w:kern w:val="0"/>
                <w:szCs w:val="21"/>
              </w:rPr>
              <w:t>员工文艺活动</w:t>
            </w:r>
          </w:p>
        </w:tc>
        <w:tc>
          <w:tcPr>
            <w:tcW w:w="1080" w:type="dxa"/>
            <w:noWrap w:val="0"/>
            <w:vAlign w:val="center"/>
          </w:tcPr>
          <w:p w14:paraId="3B9B6F94">
            <w:pPr>
              <w:widowControl/>
              <w:jc w:val="center"/>
              <w:rPr>
                <w:rFonts w:ascii="宋体" w:hAnsi="宋体" w:cs="宋体"/>
                <w:kern w:val="0"/>
                <w:szCs w:val="21"/>
              </w:rPr>
            </w:pPr>
            <w:r>
              <w:rPr>
                <w:rFonts w:hint="eastAsia" w:ascii="宋体" w:hAnsi="宋体" w:cs="宋体"/>
                <w:kern w:val="0"/>
                <w:szCs w:val="21"/>
              </w:rPr>
              <w:t>每年</w:t>
            </w:r>
          </w:p>
        </w:tc>
        <w:tc>
          <w:tcPr>
            <w:tcW w:w="1310" w:type="dxa"/>
            <w:noWrap w:val="0"/>
            <w:vAlign w:val="center"/>
          </w:tcPr>
          <w:p w14:paraId="765E380A">
            <w:pPr>
              <w:widowControl/>
              <w:jc w:val="center"/>
              <w:rPr>
                <w:rFonts w:ascii="宋体" w:hAnsi="宋体" w:cs="宋体"/>
                <w:kern w:val="0"/>
                <w:szCs w:val="21"/>
              </w:rPr>
            </w:pPr>
            <w:r>
              <w:rPr>
                <w:rFonts w:hint="eastAsia" w:ascii="宋体" w:hAnsi="宋体" w:cs="宋体"/>
                <w:kern w:val="0"/>
                <w:szCs w:val="21"/>
              </w:rPr>
              <w:t>互动</w:t>
            </w:r>
          </w:p>
        </w:tc>
        <w:tc>
          <w:tcPr>
            <w:tcW w:w="2250" w:type="dxa"/>
            <w:vMerge w:val="continue"/>
            <w:noWrap w:val="0"/>
            <w:vAlign w:val="center"/>
          </w:tcPr>
          <w:p w14:paraId="5CA8B0A0">
            <w:pPr>
              <w:widowControl/>
              <w:jc w:val="left"/>
              <w:rPr>
                <w:rFonts w:ascii="宋体" w:hAnsi="宋体" w:cs="宋体"/>
                <w:kern w:val="0"/>
                <w:szCs w:val="21"/>
              </w:rPr>
            </w:pPr>
          </w:p>
        </w:tc>
      </w:tr>
      <w:tr w14:paraId="4A106F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noWrap w:val="0"/>
            <w:vAlign w:val="center"/>
          </w:tcPr>
          <w:p w14:paraId="618D04C4">
            <w:pPr>
              <w:widowControl/>
              <w:jc w:val="left"/>
              <w:rPr>
                <w:rFonts w:ascii="宋体" w:hAnsi="宋体" w:cs="宋体"/>
                <w:b/>
                <w:bCs/>
                <w:kern w:val="0"/>
                <w:szCs w:val="21"/>
              </w:rPr>
            </w:pPr>
          </w:p>
        </w:tc>
        <w:tc>
          <w:tcPr>
            <w:tcW w:w="3174" w:type="dxa"/>
            <w:noWrap w:val="0"/>
            <w:vAlign w:val="center"/>
          </w:tcPr>
          <w:p w14:paraId="3EA65C6C">
            <w:pPr>
              <w:widowControl/>
              <w:jc w:val="center"/>
              <w:rPr>
                <w:rFonts w:ascii="宋体" w:hAnsi="宋体" w:cs="宋体"/>
                <w:kern w:val="0"/>
                <w:szCs w:val="21"/>
              </w:rPr>
            </w:pPr>
            <w:r>
              <w:rPr>
                <w:rFonts w:hint="eastAsia" w:ascii="宋体" w:hAnsi="宋体" w:cs="宋体"/>
                <w:kern w:val="0"/>
                <w:szCs w:val="21"/>
              </w:rPr>
              <w:t>其他形式团体活动</w:t>
            </w:r>
          </w:p>
        </w:tc>
        <w:tc>
          <w:tcPr>
            <w:tcW w:w="1080" w:type="dxa"/>
            <w:noWrap w:val="0"/>
            <w:vAlign w:val="center"/>
          </w:tcPr>
          <w:p w14:paraId="65B4F709">
            <w:pPr>
              <w:widowControl/>
              <w:jc w:val="center"/>
              <w:rPr>
                <w:rFonts w:ascii="宋体" w:hAnsi="宋体" w:cs="宋体"/>
                <w:kern w:val="0"/>
                <w:szCs w:val="21"/>
              </w:rPr>
            </w:pPr>
            <w:r>
              <w:rPr>
                <w:rFonts w:hint="eastAsia" w:ascii="宋体" w:hAnsi="宋体" w:cs="宋体"/>
                <w:kern w:val="0"/>
                <w:szCs w:val="21"/>
              </w:rPr>
              <w:t>按计划</w:t>
            </w:r>
          </w:p>
        </w:tc>
        <w:tc>
          <w:tcPr>
            <w:tcW w:w="1310" w:type="dxa"/>
            <w:noWrap w:val="0"/>
            <w:vAlign w:val="center"/>
          </w:tcPr>
          <w:p w14:paraId="690B0D5A">
            <w:pPr>
              <w:widowControl/>
              <w:jc w:val="center"/>
              <w:rPr>
                <w:rFonts w:ascii="宋体" w:hAnsi="宋体" w:cs="宋体"/>
                <w:kern w:val="0"/>
                <w:szCs w:val="21"/>
              </w:rPr>
            </w:pPr>
            <w:r>
              <w:rPr>
                <w:rFonts w:hint="eastAsia" w:ascii="宋体" w:hAnsi="宋体" w:cs="宋体"/>
                <w:kern w:val="0"/>
                <w:szCs w:val="21"/>
              </w:rPr>
              <w:t>互动</w:t>
            </w:r>
          </w:p>
        </w:tc>
        <w:tc>
          <w:tcPr>
            <w:tcW w:w="2250" w:type="dxa"/>
            <w:vMerge w:val="continue"/>
            <w:noWrap w:val="0"/>
            <w:vAlign w:val="center"/>
          </w:tcPr>
          <w:p w14:paraId="67997E34">
            <w:pPr>
              <w:widowControl/>
              <w:jc w:val="left"/>
              <w:rPr>
                <w:rFonts w:ascii="宋体" w:hAnsi="宋体" w:cs="宋体"/>
                <w:kern w:val="0"/>
                <w:szCs w:val="21"/>
              </w:rPr>
            </w:pPr>
          </w:p>
        </w:tc>
      </w:tr>
      <w:tr w14:paraId="389EFF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noWrap w:val="0"/>
            <w:vAlign w:val="center"/>
          </w:tcPr>
          <w:p w14:paraId="6E7D277B">
            <w:pPr>
              <w:widowControl/>
              <w:jc w:val="left"/>
              <w:rPr>
                <w:rFonts w:ascii="宋体" w:hAnsi="宋体" w:cs="宋体"/>
                <w:b/>
                <w:bCs/>
                <w:kern w:val="0"/>
                <w:szCs w:val="21"/>
              </w:rPr>
            </w:pPr>
          </w:p>
        </w:tc>
        <w:tc>
          <w:tcPr>
            <w:tcW w:w="3174" w:type="dxa"/>
            <w:noWrap w:val="0"/>
            <w:vAlign w:val="center"/>
          </w:tcPr>
          <w:p w14:paraId="79CEA7C9">
            <w:pPr>
              <w:widowControl/>
              <w:jc w:val="center"/>
              <w:rPr>
                <w:rFonts w:ascii="宋体" w:hAnsi="宋体" w:cs="宋体"/>
                <w:kern w:val="0"/>
                <w:szCs w:val="21"/>
              </w:rPr>
            </w:pPr>
            <w:r>
              <w:rPr>
                <w:rFonts w:hint="eastAsia" w:ascii="宋体" w:hAnsi="宋体" w:cs="宋体"/>
                <w:kern w:val="0"/>
                <w:szCs w:val="21"/>
              </w:rPr>
              <w:t>领导意见箱、内部投诉箱</w:t>
            </w:r>
          </w:p>
        </w:tc>
        <w:tc>
          <w:tcPr>
            <w:tcW w:w="1080" w:type="dxa"/>
            <w:noWrap w:val="0"/>
            <w:vAlign w:val="center"/>
          </w:tcPr>
          <w:p w14:paraId="15009E7E">
            <w:pPr>
              <w:widowControl/>
              <w:jc w:val="center"/>
              <w:rPr>
                <w:rFonts w:ascii="宋体" w:hAnsi="宋体" w:cs="宋体"/>
                <w:kern w:val="0"/>
                <w:szCs w:val="21"/>
              </w:rPr>
            </w:pPr>
            <w:r>
              <w:rPr>
                <w:rFonts w:hint="eastAsia" w:ascii="宋体" w:hAnsi="宋体" w:cs="宋体"/>
                <w:kern w:val="0"/>
                <w:szCs w:val="21"/>
              </w:rPr>
              <w:t>随时</w:t>
            </w:r>
          </w:p>
        </w:tc>
        <w:tc>
          <w:tcPr>
            <w:tcW w:w="1310" w:type="dxa"/>
            <w:noWrap w:val="0"/>
            <w:vAlign w:val="center"/>
          </w:tcPr>
          <w:p w14:paraId="4738CBD7">
            <w:pPr>
              <w:widowControl/>
              <w:jc w:val="center"/>
              <w:rPr>
                <w:rFonts w:ascii="宋体" w:hAnsi="宋体" w:cs="宋体"/>
                <w:kern w:val="0"/>
                <w:szCs w:val="21"/>
              </w:rPr>
            </w:pPr>
            <w:r>
              <w:rPr>
                <w:rFonts w:hint="eastAsia" w:ascii="宋体" w:hAnsi="宋体" w:cs="宋体"/>
                <w:kern w:val="0"/>
                <w:szCs w:val="21"/>
              </w:rPr>
              <w:t>双向</w:t>
            </w:r>
          </w:p>
        </w:tc>
        <w:tc>
          <w:tcPr>
            <w:tcW w:w="2250" w:type="dxa"/>
            <w:vMerge w:val="continue"/>
            <w:noWrap w:val="0"/>
            <w:vAlign w:val="center"/>
          </w:tcPr>
          <w:p w14:paraId="4070A804">
            <w:pPr>
              <w:widowControl/>
              <w:jc w:val="left"/>
              <w:rPr>
                <w:rFonts w:ascii="宋体" w:hAnsi="宋体" w:cs="宋体"/>
                <w:kern w:val="0"/>
                <w:szCs w:val="21"/>
              </w:rPr>
            </w:pPr>
          </w:p>
        </w:tc>
      </w:tr>
      <w:tr w14:paraId="0C3141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noWrap w:val="0"/>
            <w:vAlign w:val="center"/>
          </w:tcPr>
          <w:p w14:paraId="399BD230">
            <w:pPr>
              <w:widowControl/>
              <w:jc w:val="left"/>
              <w:rPr>
                <w:rFonts w:ascii="宋体" w:hAnsi="宋体" w:cs="宋体"/>
                <w:b/>
                <w:bCs/>
                <w:kern w:val="0"/>
                <w:szCs w:val="21"/>
              </w:rPr>
            </w:pPr>
          </w:p>
        </w:tc>
        <w:tc>
          <w:tcPr>
            <w:tcW w:w="3174" w:type="dxa"/>
            <w:noWrap w:val="0"/>
            <w:vAlign w:val="center"/>
          </w:tcPr>
          <w:p w14:paraId="401CA30A">
            <w:pPr>
              <w:widowControl/>
              <w:jc w:val="center"/>
              <w:rPr>
                <w:rFonts w:ascii="宋体" w:hAnsi="宋体" w:cs="宋体"/>
                <w:kern w:val="0"/>
                <w:szCs w:val="21"/>
              </w:rPr>
            </w:pPr>
            <w:r>
              <w:rPr>
                <w:rFonts w:hint="eastAsia" w:ascii="宋体" w:hAnsi="宋体" w:cs="宋体"/>
                <w:kern w:val="0"/>
                <w:szCs w:val="21"/>
              </w:rPr>
              <w:t>开展各种形式员工调查、测评</w:t>
            </w:r>
          </w:p>
        </w:tc>
        <w:tc>
          <w:tcPr>
            <w:tcW w:w="1080" w:type="dxa"/>
            <w:noWrap w:val="0"/>
            <w:vAlign w:val="center"/>
          </w:tcPr>
          <w:p w14:paraId="00CAFCD5">
            <w:pPr>
              <w:widowControl/>
              <w:jc w:val="center"/>
              <w:rPr>
                <w:rFonts w:ascii="宋体" w:hAnsi="宋体" w:cs="宋体"/>
                <w:kern w:val="0"/>
                <w:szCs w:val="21"/>
              </w:rPr>
            </w:pPr>
            <w:r>
              <w:rPr>
                <w:rFonts w:hint="eastAsia" w:ascii="宋体" w:hAnsi="宋体" w:cs="宋体"/>
                <w:kern w:val="0"/>
                <w:szCs w:val="21"/>
              </w:rPr>
              <w:t>计划</w:t>
            </w:r>
          </w:p>
        </w:tc>
        <w:tc>
          <w:tcPr>
            <w:tcW w:w="1310" w:type="dxa"/>
            <w:noWrap w:val="0"/>
            <w:vAlign w:val="center"/>
          </w:tcPr>
          <w:p w14:paraId="205183F2">
            <w:pPr>
              <w:widowControl/>
              <w:jc w:val="center"/>
              <w:rPr>
                <w:rFonts w:ascii="宋体" w:hAnsi="宋体" w:cs="宋体"/>
                <w:kern w:val="0"/>
                <w:szCs w:val="21"/>
              </w:rPr>
            </w:pPr>
            <w:r>
              <w:rPr>
                <w:rFonts w:hint="eastAsia" w:ascii="宋体" w:hAnsi="宋体" w:cs="宋体"/>
                <w:kern w:val="0"/>
                <w:szCs w:val="21"/>
              </w:rPr>
              <w:t>互动及向下</w:t>
            </w:r>
          </w:p>
        </w:tc>
        <w:tc>
          <w:tcPr>
            <w:tcW w:w="2250" w:type="dxa"/>
            <w:vMerge w:val="continue"/>
            <w:noWrap w:val="0"/>
            <w:vAlign w:val="center"/>
          </w:tcPr>
          <w:p w14:paraId="256F1114">
            <w:pPr>
              <w:widowControl/>
              <w:jc w:val="left"/>
              <w:rPr>
                <w:rFonts w:ascii="宋体" w:hAnsi="宋体" w:cs="宋体"/>
                <w:kern w:val="0"/>
                <w:szCs w:val="21"/>
              </w:rPr>
            </w:pPr>
          </w:p>
        </w:tc>
      </w:tr>
      <w:tr w14:paraId="68BBFB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restart"/>
            <w:noWrap w:val="0"/>
            <w:vAlign w:val="center"/>
          </w:tcPr>
          <w:p w14:paraId="008BE948">
            <w:pPr>
              <w:widowControl/>
              <w:jc w:val="center"/>
              <w:rPr>
                <w:rFonts w:ascii="宋体" w:hAnsi="宋体" w:cs="宋体"/>
                <w:b/>
                <w:bCs/>
                <w:kern w:val="0"/>
                <w:szCs w:val="21"/>
              </w:rPr>
            </w:pPr>
            <w:r>
              <w:rPr>
                <w:rFonts w:hint="eastAsia" w:ascii="宋体" w:hAnsi="宋体" w:cs="宋体"/>
                <w:b/>
                <w:bCs/>
                <w:kern w:val="0"/>
                <w:szCs w:val="21"/>
              </w:rPr>
              <w:t>关键顾客</w:t>
            </w:r>
          </w:p>
        </w:tc>
        <w:tc>
          <w:tcPr>
            <w:tcW w:w="3174" w:type="dxa"/>
            <w:noWrap w:val="0"/>
            <w:vAlign w:val="center"/>
          </w:tcPr>
          <w:p w14:paraId="55F0727F">
            <w:pPr>
              <w:widowControl/>
              <w:jc w:val="center"/>
              <w:rPr>
                <w:rFonts w:ascii="宋体" w:hAnsi="宋体" w:cs="宋体"/>
                <w:kern w:val="0"/>
                <w:szCs w:val="21"/>
              </w:rPr>
            </w:pPr>
            <w:r>
              <w:rPr>
                <w:rFonts w:hint="eastAsia" w:ascii="宋体" w:hAnsi="宋体" w:cs="宋体"/>
                <w:kern w:val="0"/>
                <w:szCs w:val="21"/>
              </w:rPr>
              <w:t>公司宣传资料</w:t>
            </w:r>
          </w:p>
        </w:tc>
        <w:tc>
          <w:tcPr>
            <w:tcW w:w="1080" w:type="dxa"/>
            <w:noWrap w:val="0"/>
            <w:vAlign w:val="center"/>
          </w:tcPr>
          <w:p w14:paraId="5C1E4A6E">
            <w:pPr>
              <w:widowControl/>
              <w:jc w:val="center"/>
              <w:rPr>
                <w:rFonts w:ascii="宋体" w:hAnsi="宋体" w:cs="宋体"/>
                <w:kern w:val="0"/>
                <w:szCs w:val="21"/>
              </w:rPr>
            </w:pPr>
            <w:r>
              <w:rPr>
                <w:rFonts w:hint="eastAsia" w:ascii="宋体" w:hAnsi="宋体" w:cs="宋体"/>
                <w:kern w:val="0"/>
                <w:szCs w:val="21"/>
              </w:rPr>
              <w:t>年度</w:t>
            </w:r>
          </w:p>
        </w:tc>
        <w:tc>
          <w:tcPr>
            <w:tcW w:w="1310" w:type="dxa"/>
            <w:noWrap w:val="0"/>
            <w:vAlign w:val="center"/>
          </w:tcPr>
          <w:p w14:paraId="6AC5B096">
            <w:pPr>
              <w:widowControl/>
              <w:jc w:val="center"/>
              <w:rPr>
                <w:rFonts w:ascii="宋体" w:hAnsi="宋体" w:cs="宋体"/>
                <w:kern w:val="0"/>
                <w:szCs w:val="21"/>
              </w:rPr>
            </w:pPr>
            <w:r>
              <w:rPr>
                <w:rFonts w:hint="eastAsia" w:ascii="宋体" w:hAnsi="宋体" w:cs="宋体"/>
                <w:kern w:val="0"/>
                <w:szCs w:val="21"/>
              </w:rPr>
              <w:t>横向</w:t>
            </w:r>
          </w:p>
        </w:tc>
        <w:tc>
          <w:tcPr>
            <w:tcW w:w="2250" w:type="dxa"/>
            <w:vMerge w:val="restart"/>
            <w:noWrap w:val="0"/>
            <w:vAlign w:val="center"/>
          </w:tcPr>
          <w:p w14:paraId="7FFCAECB">
            <w:pPr>
              <w:widowControl/>
              <w:jc w:val="left"/>
              <w:rPr>
                <w:rFonts w:ascii="宋体" w:hAnsi="宋体" w:cs="宋体"/>
                <w:kern w:val="0"/>
                <w:szCs w:val="21"/>
              </w:rPr>
            </w:pPr>
            <w:r>
              <w:rPr>
                <w:rFonts w:hint="eastAsia" w:ascii="宋体" w:hAnsi="宋体" w:cs="宋体"/>
                <w:kern w:val="0"/>
                <w:szCs w:val="21"/>
              </w:rPr>
              <w:t>企业文化、企业形象、产品信息、经营动态、发展方向；提升企业知名度和美誉度；与企业互动，推广企业成功经验</w:t>
            </w:r>
          </w:p>
        </w:tc>
      </w:tr>
      <w:tr w14:paraId="1D370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noWrap w:val="0"/>
            <w:vAlign w:val="center"/>
          </w:tcPr>
          <w:p w14:paraId="6DD04926">
            <w:pPr>
              <w:widowControl/>
              <w:jc w:val="left"/>
              <w:rPr>
                <w:rFonts w:ascii="宋体" w:hAnsi="宋体" w:cs="宋体"/>
                <w:b/>
                <w:bCs/>
                <w:kern w:val="0"/>
                <w:szCs w:val="21"/>
              </w:rPr>
            </w:pPr>
          </w:p>
        </w:tc>
        <w:tc>
          <w:tcPr>
            <w:tcW w:w="3174" w:type="dxa"/>
            <w:noWrap w:val="0"/>
            <w:vAlign w:val="center"/>
          </w:tcPr>
          <w:p w14:paraId="08A1983C">
            <w:pPr>
              <w:widowControl/>
              <w:jc w:val="center"/>
              <w:rPr>
                <w:rFonts w:ascii="宋体" w:hAnsi="宋体" w:cs="宋体"/>
                <w:kern w:val="0"/>
                <w:szCs w:val="21"/>
              </w:rPr>
            </w:pPr>
            <w:r>
              <w:rPr>
                <w:rFonts w:hint="eastAsia" w:ascii="宋体" w:hAnsi="宋体" w:cs="宋体"/>
                <w:kern w:val="0"/>
                <w:szCs w:val="21"/>
              </w:rPr>
              <w:t>营销会议</w:t>
            </w:r>
          </w:p>
        </w:tc>
        <w:tc>
          <w:tcPr>
            <w:tcW w:w="1080" w:type="dxa"/>
            <w:noWrap w:val="0"/>
            <w:vAlign w:val="center"/>
          </w:tcPr>
          <w:p w14:paraId="0AD19CC9">
            <w:pPr>
              <w:widowControl/>
              <w:jc w:val="center"/>
              <w:rPr>
                <w:rFonts w:ascii="宋体" w:hAnsi="宋体" w:cs="宋体"/>
                <w:kern w:val="0"/>
                <w:szCs w:val="21"/>
              </w:rPr>
            </w:pPr>
            <w:r>
              <w:rPr>
                <w:rFonts w:hint="eastAsia" w:ascii="宋体" w:hAnsi="宋体" w:cs="宋体"/>
                <w:kern w:val="0"/>
                <w:szCs w:val="21"/>
              </w:rPr>
              <w:t>计划</w:t>
            </w:r>
          </w:p>
        </w:tc>
        <w:tc>
          <w:tcPr>
            <w:tcW w:w="1310" w:type="dxa"/>
            <w:noWrap w:val="0"/>
            <w:vAlign w:val="center"/>
          </w:tcPr>
          <w:p w14:paraId="5C7D2DEF">
            <w:pPr>
              <w:widowControl/>
              <w:jc w:val="center"/>
              <w:rPr>
                <w:rFonts w:ascii="宋体" w:hAnsi="宋体" w:cs="宋体"/>
                <w:kern w:val="0"/>
                <w:szCs w:val="21"/>
              </w:rPr>
            </w:pPr>
            <w:r>
              <w:rPr>
                <w:rFonts w:hint="eastAsia" w:ascii="宋体" w:hAnsi="宋体" w:cs="宋体"/>
                <w:kern w:val="0"/>
                <w:szCs w:val="21"/>
              </w:rPr>
              <w:t>互动</w:t>
            </w:r>
          </w:p>
        </w:tc>
        <w:tc>
          <w:tcPr>
            <w:tcW w:w="2250" w:type="dxa"/>
            <w:vMerge w:val="continue"/>
            <w:noWrap w:val="0"/>
            <w:vAlign w:val="center"/>
          </w:tcPr>
          <w:p w14:paraId="311CFE43">
            <w:pPr>
              <w:widowControl/>
              <w:jc w:val="left"/>
              <w:rPr>
                <w:rFonts w:ascii="宋体" w:hAnsi="宋体" w:cs="宋体"/>
                <w:kern w:val="0"/>
                <w:szCs w:val="21"/>
              </w:rPr>
            </w:pPr>
          </w:p>
        </w:tc>
      </w:tr>
      <w:tr w14:paraId="576240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noWrap w:val="0"/>
            <w:vAlign w:val="center"/>
          </w:tcPr>
          <w:p w14:paraId="2BD354EF">
            <w:pPr>
              <w:widowControl/>
              <w:jc w:val="left"/>
              <w:rPr>
                <w:rFonts w:ascii="宋体" w:hAnsi="宋体" w:cs="宋体"/>
                <w:b/>
                <w:bCs/>
                <w:kern w:val="0"/>
                <w:szCs w:val="21"/>
              </w:rPr>
            </w:pPr>
          </w:p>
        </w:tc>
        <w:tc>
          <w:tcPr>
            <w:tcW w:w="3174" w:type="dxa"/>
            <w:noWrap w:val="0"/>
            <w:vAlign w:val="center"/>
          </w:tcPr>
          <w:p w14:paraId="153F760A">
            <w:pPr>
              <w:widowControl/>
              <w:jc w:val="center"/>
              <w:rPr>
                <w:rFonts w:ascii="宋体" w:hAnsi="宋体" w:cs="宋体"/>
                <w:kern w:val="0"/>
                <w:szCs w:val="21"/>
              </w:rPr>
            </w:pPr>
            <w:r>
              <w:rPr>
                <w:rFonts w:hint="eastAsia" w:ascii="宋体" w:hAnsi="宋体" w:cs="宋体"/>
                <w:kern w:val="0"/>
                <w:szCs w:val="21"/>
              </w:rPr>
              <w:t>客户回访</w:t>
            </w:r>
          </w:p>
        </w:tc>
        <w:tc>
          <w:tcPr>
            <w:tcW w:w="1080" w:type="dxa"/>
            <w:noWrap w:val="0"/>
            <w:vAlign w:val="center"/>
          </w:tcPr>
          <w:p w14:paraId="6603DCB8">
            <w:pPr>
              <w:widowControl/>
              <w:jc w:val="center"/>
              <w:rPr>
                <w:rFonts w:ascii="宋体" w:hAnsi="宋体" w:cs="宋体"/>
                <w:kern w:val="0"/>
                <w:szCs w:val="21"/>
              </w:rPr>
            </w:pPr>
            <w:r>
              <w:rPr>
                <w:rFonts w:hint="eastAsia" w:ascii="宋体" w:hAnsi="宋体" w:cs="宋体"/>
                <w:kern w:val="0"/>
                <w:szCs w:val="21"/>
              </w:rPr>
              <w:t>随时计划</w:t>
            </w:r>
          </w:p>
        </w:tc>
        <w:tc>
          <w:tcPr>
            <w:tcW w:w="1310" w:type="dxa"/>
            <w:noWrap w:val="0"/>
            <w:vAlign w:val="center"/>
          </w:tcPr>
          <w:p w14:paraId="5F6F7862">
            <w:pPr>
              <w:widowControl/>
              <w:jc w:val="center"/>
              <w:rPr>
                <w:rFonts w:ascii="宋体" w:hAnsi="宋体" w:cs="宋体"/>
                <w:kern w:val="0"/>
                <w:szCs w:val="21"/>
              </w:rPr>
            </w:pPr>
            <w:r>
              <w:rPr>
                <w:rFonts w:hint="eastAsia" w:ascii="宋体" w:hAnsi="宋体" w:cs="宋体"/>
                <w:kern w:val="0"/>
                <w:szCs w:val="21"/>
              </w:rPr>
              <w:t>互动</w:t>
            </w:r>
          </w:p>
        </w:tc>
        <w:tc>
          <w:tcPr>
            <w:tcW w:w="2250" w:type="dxa"/>
            <w:vMerge w:val="continue"/>
            <w:noWrap w:val="0"/>
            <w:vAlign w:val="center"/>
          </w:tcPr>
          <w:p w14:paraId="4F2A54A7">
            <w:pPr>
              <w:widowControl/>
              <w:jc w:val="left"/>
              <w:rPr>
                <w:rFonts w:ascii="宋体" w:hAnsi="宋体" w:cs="宋体"/>
                <w:kern w:val="0"/>
                <w:szCs w:val="21"/>
              </w:rPr>
            </w:pPr>
          </w:p>
        </w:tc>
      </w:tr>
      <w:tr w14:paraId="0D30F22D">
        <w:tblPrEx>
          <w:tblCellMar>
            <w:top w:w="0" w:type="dxa"/>
            <w:left w:w="108" w:type="dxa"/>
            <w:bottom w:w="0" w:type="dxa"/>
            <w:right w:w="108" w:type="dxa"/>
          </w:tblCellMar>
        </w:tblPrEx>
        <w:trPr>
          <w:trHeight w:val="397" w:hRule="atLeast"/>
        </w:trPr>
        <w:tc>
          <w:tcPr>
            <w:tcW w:w="1239" w:type="dxa"/>
            <w:vMerge w:val="continue"/>
            <w:noWrap w:val="0"/>
            <w:vAlign w:val="center"/>
          </w:tcPr>
          <w:p w14:paraId="685A9BD8">
            <w:pPr>
              <w:widowControl/>
              <w:jc w:val="left"/>
              <w:rPr>
                <w:rFonts w:ascii="宋体" w:hAnsi="宋体" w:cs="宋体"/>
                <w:b/>
                <w:bCs/>
                <w:kern w:val="0"/>
                <w:szCs w:val="21"/>
              </w:rPr>
            </w:pPr>
          </w:p>
        </w:tc>
        <w:tc>
          <w:tcPr>
            <w:tcW w:w="3174" w:type="dxa"/>
            <w:noWrap w:val="0"/>
            <w:vAlign w:val="center"/>
          </w:tcPr>
          <w:p w14:paraId="7C2885F3">
            <w:pPr>
              <w:widowControl/>
              <w:jc w:val="center"/>
              <w:rPr>
                <w:rFonts w:ascii="宋体" w:hAnsi="宋体" w:cs="宋体"/>
                <w:kern w:val="0"/>
                <w:szCs w:val="21"/>
              </w:rPr>
            </w:pPr>
            <w:r>
              <w:rPr>
                <w:rFonts w:hint="eastAsia" w:ascii="宋体" w:hAnsi="宋体" w:cs="宋体"/>
                <w:kern w:val="0"/>
                <w:szCs w:val="21"/>
              </w:rPr>
              <w:t>网站、经销商会议</w:t>
            </w:r>
          </w:p>
        </w:tc>
        <w:tc>
          <w:tcPr>
            <w:tcW w:w="1080" w:type="dxa"/>
            <w:noWrap w:val="0"/>
            <w:vAlign w:val="center"/>
          </w:tcPr>
          <w:p w14:paraId="680D1474">
            <w:pPr>
              <w:widowControl/>
              <w:jc w:val="center"/>
              <w:rPr>
                <w:rFonts w:ascii="宋体" w:hAnsi="宋体" w:cs="宋体"/>
                <w:kern w:val="0"/>
                <w:szCs w:val="21"/>
              </w:rPr>
            </w:pPr>
            <w:r>
              <w:rPr>
                <w:rFonts w:hint="eastAsia" w:ascii="宋体" w:hAnsi="宋体" w:cs="宋体"/>
                <w:kern w:val="0"/>
                <w:szCs w:val="21"/>
              </w:rPr>
              <w:t>随时计划</w:t>
            </w:r>
          </w:p>
        </w:tc>
        <w:tc>
          <w:tcPr>
            <w:tcW w:w="1310" w:type="dxa"/>
            <w:noWrap w:val="0"/>
            <w:vAlign w:val="center"/>
          </w:tcPr>
          <w:p w14:paraId="25BD1CFB">
            <w:pPr>
              <w:widowControl/>
              <w:jc w:val="center"/>
              <w:rPr>
                <w:rFonts w:ascii="宋体" w:hAnsi="宋体" w:cs="宋体"/>
                <w:kern w:val="0"/>
                <w:szCs w:val="21"/>
              </w:rPr>
            </w:pPr>
            <w:r>
              <w:rPr>
                <w:rFonts w:hint="eastAsia" w:ascii="宋体" w:hAnsi="宋体" w:cs="宋体"/>
                <w:kern w:val="0"/>
                <w:szCs w:val="21"/>
              </w:rPr>
              <w:t>横向</w:t>
            </w:r>
          </w:p>
        </w:tc>
        <w:tc>
          <w:tcPr>
            <w:tcW w:w="2250" w:type="dxa"/>
            <w:vMerge w:val="continue"/>
            <w:noWrap w:val="0"/>
            <w:vAlign w:val="center"/>
          </w:tcPr>
          <w:p w14:paraId="32A596E3">
            <w:pPr>
              <w:widowControl/>
              <w:jc w:val="left"/>
              <w:rPr>
                <w:rFonts w:ascii="宋体" w:hAnsi="宋体" w:cs="宋体"/>
                <w:kern w:val="0"/>
                <w:szCs w:val="21"/>
              </w:rPr>
            </w:pPr>
          </w:p>
        </w:tc>
      </w:tr>
      <w:tr w14:paraId="3280D6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noWrap w:val="0"/>
            <w:vAlign w:val="center"/>
          </w:tcPr>
          <w:p w14:paraId="79EC937B">
            <w:pPr>
              <w:widowControl/>
              <w:jc w:val="left"/>
              <w:rPr>
                <w:rFonts w:ascii="宋体" w:hAnsi="宋体" w:cs="宋体"/>
                <w:b/>
                <w:bCs/>
                <w:kern w:val="0"/>
                <w:szCs w:val="21"/>
              </w:rPr>
            </w:pPr>
          </w:p>
        </w:tc>
        <w:tc>
          <w:tcPr>
            <w:tcW w:w="3174" w:type="dxa"/>
            <w:noWrap w:val="0"/>
            <w:vAlign w:val="center"/>
          </w:tcPr>
          <w:p w14:paraId="0C33416E">
            <w:pPr>
              <w:widowControl/>
              <w:jc w:val="center"/>
              <w:rPr>
                <w:rFonts w:ascii="宋体" w:hAnsi="宋体" w:cs="宋体"/>
                <w:kern w:val="0"/>
                <w:szCs w:val="21"/>
              </w:rPr>
            </w:pPr>
            <w:r>
              <w:rPr>
                <w:rFonts w:hint="eastAsia" w:ascii="宋体" w:hAnsi="宋体" w:cs="宋体"/>
                <w:kern w:val="0"/>
                <w:szCs w:val="21"/>
              </w:rPr>
              <w:t>日常沟通（服务热线、客户调查、业务回访等）</w:t>
            </w:r>
          </w:p>
        </w:tc>
        <w:tc>
          <w:tcPr>
            <w:tcW w:w="1080" w:type="dxa"/>
            <w:noWrap w:val="0"/>
            <w:vAlign w:val="center"/>
          </w:tcPr>
          <w:p w14:paraId="671ED7E1">
            <w:pPr>
              <w:widowControl/>
              <w:jc w:val="center"/>
              <w:rPr>
                <w:rFonts w:ascii="宋体" w:hAnsi="宋体" w:cs="宋体"/>
                <w:kern w:val="0"/>
                <w:szCs w:val="21"/>
              </w:rPr>
            </w:pPr>
            <w:r>
              <w:rPr>
                <w:rFonts w:hint="eastAsia" w:ascii="宋体" w:hAnsi="宋体" w:cs="宋体"/>
                <w:kern w:val="0"/>
                <w:szCs w:val="21"/>
              </w:rPr>
              <w:t>日常</w:t>
            </w:r>
          </w:p>
        </w:tc>
        <w:tc>
          <w:tcPr>
            <w:tcW w:w="1310" w:type="dxa"/>
            <w:noWrap w:val="0"/>
            <w:vAlign w:val="center"/>
          </w:tcPr>
          <w:p w14:paraId="18CADB61">
            <w:pPr>
              <w:widowControl/>
              <w:jc w:val="center"/>
              <w:rPr>
                <w:rFonts w:ascii="宋体" w:hAnsi="宋体" w:cs="宋体"/>
                <w:kern w:val="0"/>
                <w:szCs w:val="21"/>
              </w:rPr>
            </w:pPr>
            <w:r>
              <w:rPr>
                <w:rFonts w:hint="eastAsia" w:ascii="宋体" w:hAnsi="宋体" w:cs="宋体"/>
                <w:kern w:val="0"/>
                <w:szCs w:val="21"/>
              </w:rPr>
              <w:t>双向</w:t>
            </w:r>
          </w:p>
        </w:tc>
        <w:tc>
          <w:tcPr>
            <w:tcW w:w="2250" w:type="dxa"/>
            <w:vMerge w:val="continue"/>
            <w:noWrap w:val="0"/>
            <w:vAlign w:val="center"/>
          </w:tcPr>
          <w:p w14:paraId="5B6E5E90">
            <w:pPr>
              <w:widowControl/>
              <w:jc w:val="left"/>
              <w:rPr>
                <w:rFonts w:ascii="宋体" w:hAnsi="宋体" w:cs="宋体"/>
                <w:kern w:val="0"/>
                <w:szCs w:val="21"/>
              </w:rPr>
            </w:pPr>
          </w:p>
        </w:tc>
      </w:tr>
      <w:tr w14:paraId="3BE64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restart"/>
            <w:noWrap w:val="0"/>
            <w:vAlign w:val="center"/>
          </w:tcPr>
          <w:p w14:paraId="7159CBFA">
            <w:pPr>
              <w:widowControl/>
              <w:jc w:val="center"/>
              <w:rPr>
                <w:rFonts w:ascii="宋体" w:hAnsi="宋体" w:cs="宋体"/>
                <w:b/>
                <w:bCs/>
                <w:kern w:val="0"/>
                <w:szCs w:val="21"/>
              </w:rPr>
            </w:pPr>
            <w:r>
              <w:rPr>
                <w:rFonts w:hint="eastAsia" w:ascii="宋体" w:hAnsi="宋体" w:cs="宋体"/>
                <w:b/>
                <w:bCs/>
                <w:kern w:val="0"/>
                <w:szCs w:val="21"/>
              </w:rPr>
              <w:t>供应商</w:t>
            </w:r>
          </w:p>
        </w:tc>
        <w:tc>
          <w:tcPr>
            <w:tcW w:w="3174" w:type="dxa"/>
            <w:noWrap w:val="0"/>
            <w:vAlign w:val="center"/>
          </w:tcPr>
          <w:p w14:paraId="5FA08D5D">
            <w:pPr>
              <w:widowControl/>
              <w:jc w:val="center"/>
              <w:rPr>
                <w:rFonts w:ascii="宋体" w:hAnsi="宋体" w:cs="宋体"/>
                <w:kern w:val="0"/>
                <w:szCs w:val="21"/>
              </w:rPr>
            </w:pPr>
            <w:r>
              <w:rPr>
                <w:rFonts w:hint="eastAsia" w:ascii="宋体" w:hAnsi="宋体" w:cs="宋体"/>
                <w:kern w:val="0"/>
                <w:szCs w:val="21"/>
              </w:rPr>
              <w:t>供应商会议</w:t>
            </w:r>
          </w:p>
        </w:tc>
        <w:tc>
          <w:tcPr>
            <w:tcW w:w="1080" w:type="dxa"/>
            <w:noWrap w:val="0"/>
            <w:vAlign w:val="center"/>
          </w:tcPr>
          <w:p w14:paraId="5B89E3E2">
            <w:pPr>
              <w:widowControl/>
              <w:jc w:val="center"/>
              <w:rPr>
                <w:rFonts w:ascii="宋体" w:hAnsi="宋体" w:cs="宋体"/>
                <w:kern w:val="0"/>
                <w:szCs w:val="21"/>
              </w:rPr>
            </w:pPr>
            <w:r>
              <w:rPr>
                <w:rFonts w:hint="eastAsia" w:ascii="宋体" w:hAnsi="宋体" w:cs="宋体"/>
                <w:kern w:val="0"/>
                <w:szCs w:val="21"/>
              </w:rPr>
              <w:t>每年</w:t>
            </w:r>
          </w:p>
        </w:tc>
        <w:tc>
          <w:tcPr>
            <w:tcW w:w="1310" w:type="dxa"/>
            <w:noWrap w:val="0"/>
            <w:vAlign w:val="center"/>
          </w:tcPr>
          <w:p w14:paraId="0F7E7A0D">
            <w:pPr>
              <w:widowControl/>
              <w:jc w:val="center"/>
              <w:rPr>
                <w:rFonts w:ascii="宋体" w:hAnsi="宋体" w:cs="宋体"/>
                <w:kern w:val="0"/>
                <w:szCs w:val="21"/>
              </w:rPr>
            </w:pPr>
            <w:r>
              <w:rPr>
                <w:rFonts w:hint="eastAsia" w:ascii="宋体" w:hAnsi="宋体" w:cs="宋体"/>
                <w:kern w:val="0"/>
                <w:szCs w:val="21"/>
              </w:rPr>
              <w:t>横向</w:t>
            </w:r>
          </w:p>
        </w:tc>
        <w:tc>
          <w:tcPr>
            <w:tcW w:w="2250" w:type="dxa"/>
            <w:vMerge w:val="continue"/>
            <w:noWrap w:val="0"/>
            <w:vAlign w:val="center"/>
          </w:tcPr>
          <w:p w14:paraId="78DA5F13">
            <w:pPr>
              <w:widowControl/>
              <w:jc w:val="left"/>
              <w:rPr>
                <w:rFonts w:ascii="宋体" w:hAnsi="宋体" w:cs="宋体"/>
                <w:kern w:val="0"/>
                <w:szCs w:val="21"/>
              </w:rPr>
            </w:pPr>
          </w:p>
        </w:tc>
      </w:tr>
      <w:tr w14:paraId="74CB1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noWrap w:val="0"/>
            <w:vAlign w:val="center"/>
          </w:tcPr>
          <w:p w14:paraId="66F3BE54">
            <w:pPr>
              <w:widowControl/>
              <w:jc w:val="left"/>
              <w:rPr>
                <w:rFonts w:ascii="宋体" w:hAnsi="宋体" w:cs="宋体"/>
                <w:b/>
                <w:bCs/>
                <w:kern w:val="0"/>
                <w:szCs w:val="21"/>
              </w:rPr>
            </w:pPr>
          </w:p>
        </w:tc>
        <w:tc>
          <w:tcPr>
            <w:tcW w:w="3174" w:type="dxa"/>
            <w:noWrap w:val="0"/>
            <w:vAlign w:val="center"/>
          </w:tcPr>
          <w:p w14:paraId="2E382203">
            <w:pPr>
              <w:widowControl/>
              <w:jc w:val="center"/>
              <w:rPr>
                <w:rFonts w:ascii="宋体" w:hAnsi="宋体" w:cs="宋体"/>
                <w:kern w:val="0"/>
                <w:szCs w:val="21"/>
              </w:rPr>
            </w:pPr>
            <w:r>
              <w:rPr>
                <w:rFonts w:hint="eastAsia" w:ascii="宋体" w:hAnsi="宋体" w:cs="宋体"/>
                <w:kern w:val="0"/>
                <w:szCs w:val="21"/>
              </w:rPr>
              <w:t>供应商调查</w:t>
            </w:r>
          </w:p>
        </w:tc>
        <w:tc>
          <w:tcPr>
            <w:tcW w:w="1080" w:type="dxa"/>
            <w:noWrap w:val="0"/>
            <w:vAlign w:val="center"/>
          </w:tcPr>
          <w:p w14:paraId="181979CC">
            <w:pPr>
              <w:widowControl/>
              <w:jc w:val="center"/>
              <w:rPr>
                <w:rFonts w:ascii="宋体" w:hAnsi="宋体" w:cs="宋体"/>
                <w:kern w:val="0"/>
                <w:szCs w:val="21"/>
              </w:rPr>
            </w:pPr>
            <w:r>
              <w:rPr>
                <w:rFonts w:hint="eastAsia" w:ascii="宋体" w:hAnsi="宋体" w:cs="宋体"/>
                <w:kern w:val="0"/>
                <w:szCs w:val="21"/>
              </w:rPr>
              <w:t>每年</w:t>
            </w:r>
          </w:p>
        </w:tc>
        <w:tc>
          <w:tcPr>
            <w:tcW w:w="1310" w:type="dxa"/>
            <w:noWrap w:val="0"/>
            <w:vAlign w:val="center"/>
          </w:tcPr>
          <w:p w14:paraId="1CBA6893">
            <w:pPr>
              <w:widowControl/>
              <w:jc w:val="center"/>
              <w:rPr>
                <w:rFonts w:ascii="宋体" w:hAnsi="宋体" w:cs="宋体"/>
                <w:kern w:val="0"/>
                <w:szCs w:val="21"/>
              </w:rPr>
            </w:pPr>
            <w:r>
              <w:rPr>
                <w:rFonts w:hint="eastAsia" w:ascii="宋体" w:hAnsi="宋体" w:cs="宋体"/>
                <w:kern w:val="0"/>
                <w:szCs w:val="21"/>
              </w:rPr>
              <w:t>双向互动</w:t>
            </w:r>
          </w:p>
        </w:tc>
        <w:tc>
          <w:tcPr>
            <w:tcW w:w="2250" w:type="dxa"/>
            <w:vMerge w:val="continue"/>
            <w:noWrap w:val="0"/>
            <w:vAlign w:val="center"/>
          </w:tcPr>
          <w:p w14:paraId="4645153F">
            <w:pPr>
              <w:widowControl/>
              <w:jc w:val="left"/>
              <w:rPr>
                <w:rFonts w:ascii="宋体" w:hAnsi="宋体" w:cs="宋体"/>
                <w:kern w:val="0"/>
                <w:szCs w:val="21"/>
              </w:rPr>
            </w:pPr>
          </w:p>
        </w:tc>
      </w:tr>
      <w:tr w14:paraId="3781A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noWrap w:val="0"/>
            <w:vAlign w:val="center"/>
          </w:tcPr>
          <w:p w14:paraId="67B95AB2">
            <w:pPr>
              <w:widowControl/>
              <w:jc w:val="left"/>
              <w:rPr>
                <w:rFonts w:ascii="宋体" w:hAnsi="宋体" w:cs="宋体"/>
                <w:b/>
                <w:bCs/>
                <w:kern w:val="0"/>
                <w:szCs w:val="21"/>
              </w:rPr>
            </w:pPr>
          </w:p>
        </w:tc>
        <w:tc>
          <w:tcPr>
            <w:tcW w:w="3174" w:type="dxa"/>
            <w:noWrap w:val="0"/>
            <w:vAlign w:val="center"/>
          </w:tcPr>
          <w:p w14:paraId="663994F1">
            <w:pPr>
              <w:widowControl/>
              <w:jc w:val="center"/>
              <w:rPr>
                <w:rFonts w:ascii="宋体" w:hAnsi="宋体" w:cs="宋体"/>
                <w:kern w:val="0"/>
                <w:szCs w:val="21"/>
              </w:rPr>
            </w:pPr>
            <w:r>
              <w:rPr>
                <w:rFonts w:hint="eastAsia" w:ascii="宋体" w:hAnsi="宋体" w:cs="宋体"/>
                <w:kern w:val="0"/>
                <w:szCs w:val="21"/>
              </w:rPr>
              <w:t>网站、报纸、杂志等</w:t>
            </w:r>
          </w:p>
        </w:tc>
        <w:tc>
          <w:tcPr>
            <w:tcW w:w="1080" w:type="dxa"/>
            <w:noWrap w:val="0"/>
            <w:vAlign w:val="center"/>
          </w:tcPr>
          <w:p w14:paraId="5DBE7628">
            <w:pPr>
              <w:widowControl/>
              <w:jc w:val="center"/>
              <w:rPr>
                <w:rFonts w:ascii="宋体" w:hAnsi="宋体" w:cs="宋体"/>
                <w:kern w:val="0"/>
                <w:szCs w:val="21"/>
              </w:rPr>
            </w:pPr>
            <w:r>
              <w:rPr>
                <w:rFonts w:hint="eastAsia" w:ascii="宋体" w:hAnsi="宋体" w:cs="宋体"/>
                <w:kern w:val="0"/>
                <w:szCs w:val="21"/>
              </w:rPr>
              <w:t>每月</w:t>
            </w:r>
          </w:p>
        </w:tc>
        <w:tc>
          <w:tcPr>
            <w:tcW w:w="1310" w:type="dxa"/>
            <w:noWrap w:val="0"/>
            <w:vAlign w:val="center"/>
          </w:tcPr>
          <w:p w14:paraId="42FDB624">
            <w:pPr>
              <w:widowControl/>
              <w:jc w:val="center"/>
              <w:rPr>
                <w:rFonts w:ascii="宋体" w:hAnsi="宋体" w:cs="宋体"/>
                <w:kern w:val="0"/>
                <w:szCs w:val="21"/>
              </w:rPr>
            </w:pPr>
            <w:r>
              <w:rPr>
                <w:rFonts w:hint="eastAsia" w:ascii="宋体" w:hAnsi="宋体" w:cs="宋体"/>
                <w:kern w:val="0"/>
                <w:szCs w:val="21"/>
              </w:rPr>
              <w:t>单项</w:t>
            </w:r>
          </w:p>
        </w:tc>
        <w:tc>
          <w:tcPr>
            <w:tcW w:w="2250" w:type="dxa"/>
            <w:vMerge w:val="continue"/>
            <w:noWrap w:val="0"/>
            <w:vAlign w:val="center"/>
          </w:tcPr>
          <w:p w14:paraId="39554C44">
            <w:pPr>
              <w:widowControl/>
              <w:jc w:val="left"/>
              <w:rPr>
                <w:rFonts w:ascii="宋体" w:hAnsi="宋体" w:cs="宋体"/>
                <w:kern w:val="0"/>
                <w:szCs w:val="21"/>
              </w:rPr>
            </w:pPr>
          </w:p>
        </w:tc>
      </w:tr>
      <w:tr w14:paraId="6D5E37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restart"/>
            <w:noWrap w:val="0"/>
            <w:vAlign w:val="center"/>
          </w:tcPr>
          <w:p w14:paraId="5714330A">
            <w:pPr>
              <w:widowControl/>
              <w:jc w:val="center"/>
              <w:rPr>
                <w:rFonts w:ascii="宋体" w:hAnsi="宋体" w:cs="宋体"/>
                <w:b/>
                <w:bCs/>
                <w:kern w:val="0"/>
                <w:szCs w:val="21"/>
              </w:rPr>
            </w:pPr>
            <w:r>
              <w:rPr>
                <w:rFonts w:hint="eastAsia" w:ascii="宋体" w:hAnsi="宋体" w:cs="宋体"/>
                <w:b/>
                <w:bCs/>
                <w:kern w:val="0"/>
                <w:szCs w:val="21"/>
              </w:rPr>
              <w:t>社区社会</w:t>
            </w:r>
          </w:p>
        </w:tc>
        <w:tc>
          <w:tcPr>
            <w:tcW w:w="3174" w:type="dxa"/>
            <w:noWrap w:val="0"/>
            <w:vAlign w:val="center"/>
          </w:tcPr>
          <w:p w14:paraId="60B69597">
            <w:pPr>
              <w:widowControl/>
              <w:jc w:val="center"/>
              <w:rPr>
                <w:rFonts w:ascii="宋体" w:hAnsi="宋体" w:cs="宋体"/>
                <w:kern w:val="0"/>
                <w:szCs w:val="21"/>
              </w:rPr>
            </w:pPr>
            <w:r>
              <w:rPr>
                <w:rFonts w:hint="eastAsia" w:ascii="宋体" w:hAnsi="宋体" w:cs="宋体"/>
                <w:kern w:val="0"/>
                <w:szCs w:val="21"/>
              </w:rPr>
              <w:t>支持社会公益活动</w:t>
            </w:r>
          </w:p>
        </w:tc>
        <w:tc>
          <w:tcPr>
            <w:tcW w:w="1080" w:type="dxa"/>
            <w:noWrap w:val="0"/>
            <w:vAlign w:val="center"/>
          </w:tcPr>
          <w:p w14:paraId="042E11D9">
            <w:pPr>
              <w:widowControl/>
              <w:jc w:val="center"/>
              <w:rPr>
                <w:rFonts w:ascii="宋体" w:hAnsi="宋体" w:cs="宋体"/>
                <w:kern w:val="0"/>
                <w:szCs w:val="21"/>
              </w:rPr>
            </w:pPr>
            <w:r>
              <w:rPr>
                <w:rFonts w:hint="eastAsia" w:ascii="宋体" w:hAnsi="宋体" w:cs="宋体"/>
                <w:kern w:val="0"/>
                <w:szCs w:val="21"/>
              </w:rPr>
              <w:t>按计划</w:t>
            </w:r>
          </w:p>
        </w:tc>
        <w:tc>
          <w:tcPr>
            <w:tcW w:w="1310" w:type="dxa"/>
            <w:noWrap w:val="0"/>
            <w:vAlign w:val="center"/>
          </w:tcPr>
          <w:p w14:paraId="19BB04E1">
            <w:pPr>
              <w:widowControl/>
              <w:jc w:val="center"/>
              <w:rPr>
                <w:rFonts w:ascii="宋体" w:hAnsi="宋体" w:cs="宋体"/>
                <w:kern w:val="0"/>
                <w:szCs w:val="21"/>
              </w:rPr>
            </w:pPr>
            <w:r>
              <w:rPr>
                <w:rFonts w:hint="eastAsia" w:ascii="宋体" w:hAnsi="宋体" w:cs="宋体"/>
                <w:kern w:val="0"/>
                <w:szCs w:val="21"/>
              </w:rPr>
              <w:t>横向</w:t>
            </w:r>
          </w:p>
        </w:tc>
        <w:tc>
          <w:tcPr>
            <w:tcW w:w="2250" w:type="dxa"/>
            <w:vMerge w:val="restart"/>
            <w:noWrap w:val="0"/>
            <w:vAlign w:val="center"/>
          </w:tcPr>
          <w:p w14:paraId="25E37B37">
            <w:pPr>
              <w:widowControl/>
              <w:jc w:val="left"/>
              <w:rPr>
                <w:rFonts w:ascii="宋体" w:hAnsi="宋体" w:cs="宋体"/>
                <w:kern w:val="0"/>
                <w:szCs w:val="21"/>
              </w:rPr>
            </w:pPr>
            <w:r>
              <w:rPr>
                <w:rFonts w:hint="eastAsia" w:ascii="宋体" w:hAnsi="宋体" w:cs="宋体"/>
                <w:kern w:val="0"/>
                <w:szCs w:val="21"/>
              </w:rPr>
              <w:t>环境、公益活动、联谊、文明创建等</w:t>
            </w:r>
          </w:p>
        </w:tc>
      </w:tr>
      <w:tr w14:paraId="20E35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39" w:type="dxa"/>
            <w:vMerge w:val="continue"/>
            <w:noWrap w:val="0"/>
            <w:vAlign w:val="center"/>
          </w:tcPr>
          <w:p w14:paraId="3CE1A088">
            <w:pPr>
              <w:widowControl/>
              <w:jc w:val="left"/>
              <w:rPr>
                <w:rFonts w:ascii="宋体" w:hAnsi="宋体" w:cs="宋体"/>
                <w:b/>
                <w:bCs/>
                <w:kern w:val="0"/>
                <w:szCs w:val="21"/>
              </w:rPr>
            </w:pPr>
          </w:p>
        </w:tc>
        <w:tc>
          <w:tcPr>
            <w:tcW w:w="3174" w:type="dxa"/>
            <w:noWrap w:val="0"/>
            <w:vAlign w:val="center"/>
          </w:tcPr>
          <w:p w14:paraId="7E23E9B6">
            <w:pPr>
              <w:widowControl/>
              <w:jc w:val="center"/>
              <w:rPr>
                <w:rFonts w:ascii="宋体" w:hAnsi="宋体" w:cs="宋体"/>
                <w:kern w:val="0"/>
                <w:szCs w:val="21"/>
              </w:rPr>
            </w:pPr>
            <w:r>
              <w:rPr>
                <w:rFonts w:hint="eastAsia" w:ascii="宋体" w:hAnsi="宋体" w:cs="宋体"/>
                <w:kern w:val="0"/>
                <w:szCs w:val="21"/>
              </w:rPr>
              <w:t>参与社区的活动</w:t>
            </w:r>
          </w:p>
        </w:tc>
        <w:tc>
          <w:tcPr>
            <w:tcW w:w="1080" w:type="dxa"/>
            <w:noWrap w:val="0"/>
            <w:vAlign w:val="center"/>
          </w:tcPr>
          <w:p w14:paraId="4C458315">
            <w:pPr>
              <w:widowControl/>
              <w:jc w:val="center"/>
              <w:rPr>
                <w:rFonts w:ascii="宋体" w:hAnsi="宋体" w:cs="宋体"/>
                <w:kern w:val="0"/>
                <w:szCs w:val="21"/>
              </w:rPr>
            </w:pPr>
            <w:r>
              <w:rPr>
                <w:rFonts w:hint="eastAsia" w:ascii="宋体" w:hAnsi="宋体" w:cs="宋体"/>
                <w:kern w:val="0"/>
                <w:szCs w:val="21"/>
              </w:rPr>
              <w:t>社区安排</w:t>
            </w:r>
          </w:p>
        </w:tc>
        <w:tc>
          <w:tcPr>
            <w:tcW w:w="1310" w:type="dxa"/>
            <w:noWrap w:val="0"/>
            <w:vAlign w:val="center"/>
          </w:tcPr>
          <w:p w14:paraId="1EFE43D9">
            <w:pPr>
              <w:widowControl/>
              <w:jc w:val="center"/>
              <w:rPr>
                <w:rFonts w:ascii="宋体" w:hAnsi="宋体" w:cs="宋体"/>
                <w:kern w:val="0"/>
                <w:szCs w:val="21"/>
              </w:rPr>
            </w:pPr>
            <w:r>
              <w:rPr>
                <w:rFonts w:hint="eastAsia" w:ascii="宋体" w:hAnsi="宋体" w:cs="宋体"/>
                <w:kern w:val="0"/>
                <w:szCs w:val="21"/>
              </w:rPr>
              <w:t>横向</w:t>
            </w:r>
          </w:p>
        </w:tc>
        <w:tc>
          <w:tcPr>
            <w:tcW w:w="2250" w:type="dxa"/>
            <w:vMerge w:val="continue"/>
            <w:noWrap w:val="0"/>
            <w:vAlign w:val="center"/>
          </w:tcPr>
          <w:p w14:paraId="44B22B0E">
            <w:pPr>
              <w:widowControl/>
              <w:jc w:val="left"/>
              <w:rPr>
                <w:rFonts w:ascii="宋体" w:hAnsi="宋体" w:cs="宋体"/>
                <w:kern w:val="0"/>
                <w:szCs w:val="21"/>
              </w:rPr>
            </w:pPr>
          </w:p>
        </w:tc>
      </w:tr>
    </w:tbl>
    <w:p w14:paraId="24E9FE99">
      <w:pPr>
        <w:spacing w:line="360" w:lineRule="auto"/>
        <w:jc w:val="left"/>
        <w:rPr>
          <w:rFonts w:hint="eastAsia" w:ascii="宋体" w:hAnsi="宋体"/>
          <w:b/>
          <w:w w:val="90"/>
          <w:sz w:val="28"/>
          <w:szCs w:val="28"/>
        </w:rPr>
      </w:pPr>
      <w:r>
        <w:rPr>
          <w:rFonts w:hint="eastAsia" w:ascii="宋体" w:hAnsi="宋体"/>
          <w:b/>
          <w:w w:val="90"/>
          <w:sz w:val="28"/>
          <w:szCs w:val="28"/>
        </w:rPr>
        <w:t>二、追求高质量的产品和服务的社会责任</w:t>
      </w:r>
    </w:p>
    <w:p w14:paraId="296F923A">
      <w:pPr>
        <w:spacing w:line="360" w:lineRule="auto"/>
        <w:ind w:firstLine="553"/>
        <w:rPr>
          <w:rFonts w:hint="eastAsia" w:ascii="宋体" w:hAnsi="宋体"/>
          <w:w w:val="90"/>
          <w:sz w:val="28"/>
          <w:szCs w:val="28"/>
        </w:rPr>
      </w:pPr>
      <w:r>
        <w:rPr>
          <w:rFonts w:hint="eastAsia" w:ascii="宋体" w:hAnsi="宋体"/>
          <w:w w:val="90"/>
          <w:sz w:val="28"/>
          <w:szCs w:val="28"/>
        </w:rPr>
        <w:t>公司认为，企业最大的社会责任，是为顾客提供高质量的产品和服务，这个信念始终贯穿企业经营的始终。企业经营的目的是获取利润，但获取利润的途径，是为社会创造价值。因此我们不断追求进步和创新，通过创新的科技和完善的服务，为顾客创造价值，是我们首要的社会责任。</w:t>
      </w:r>
    </w:p>
    <w:p w14:paraId="4301BDED">
      <w:pPr>
        <w:spacing w:line="360" w:lineRule="auto"/>
        <w:ind w:firstLine="553"/>
        <w:rPr>
          <w:rFonts w:hint="eastAsia" w:ascii="宋体" w:hAnsi="宋体"/>
          <w:w w:val="90"/>
          <w:sz w:val="28"/>
          <w:szCs w:val="28"/>
        </w:rPr>
      </w:pPr>
      <w:r>
        <w:rPr>
          <w:rFonts w:hint="eastAsia" w:ascii="宋体" w:hAnsi="宋体"/>
          <w:w w:val="90"/>
          <w:sz w:val="28"/>
          <w:szCs w:val="28"/>
        </w:rPr>
        <w:t>公司先后通过了ISO 9001：2015质量管理体系、ISO 14001：2015环境管理体系认证、GB/T 45001-2020 职业健康和安全管理体系。2024年成功导入卓越绩效模式。同时，2020年通过了三级安全标准化。这些管理体系和标准确保了我们所有管理行动的全面性、持续性和有效性，确保产品质量。</w:t>
      </w:r>
    </w:p>
    <w:p w14:paraId="1206A429">
      <w:pPr>
        <w:pStyle w:val="12"/>
        <w:adjustRightInd w:val="0"/>
        <w:spacing w:after="0" w:line="360" w:lineRule="auto"/>
        <w:ind w:left="0" w:leftChars="0" w:firstLine="504" w:firstLineChars="200"/>
        <w:rPr>
          <w:rFonts w:ascii="宋体" w:hAnsi="宋体"/>
          <w:w w:val="90"/>
          <w:sz w:val="28"/>
          <w:szCs w:val="28"/>
        </w:rPr>
      </w:pPr>
      <w:r>
        <w:rPr>
          <w:rFonts w:hint="eastAsia" w:ascii="宋体" w:hAnsi="宋体"/>
          <w:w w:val="90"/>
          <w:sz w:val="28"/>
          <w:szCs w:val="28"/>
        </w:rPr>
        <w:t>为履行确保组织所提供产品和服务的质量安全的职责，引导组织承担质量安全主体责任，</w:t>
      </w:r>
      <w:r>
        <w:rPr>
          <w:rFonts w:ascii="宋体" w:hAnsi="宋体"/>
          <w:w w:val="90"/>
          <w:sz w:val="28"/>
          <w:szCs w:val="28"/>
        </w:rPr>
        <w:t>公司高度重视质量管理体系的建设，在对产品质量进行严格把关，并满足各项标准指标的同时，建立了完善的质量管理体系。</w:t>
      </w:r>
    </w:p>
    <w:p w14:paraId="4468074A">
      <w:pPr>
        <w:pStyle w:val="12"/>
        <w:adjustRightInd w:val="0"/>
        <w:spacing w:after="0" w:line="300" w:lineRule="auto"/>
        <w:ind w:left="0" w:leftChars="0" w:firstLine="504" w:firstLineChars="200"/>
        <w:rPr>
          <w:rFonts w:hint="eastAsia" w:ascii="宋体" w:hAnsi="宋体"/>
          <w:w w:val="90"/>
          <w:sz w:val="28"/>
          <w:szCs w:val="28"/>
        </w:rPr>
      </w:pPr>
      <w:r>
        <w:rPr>
          <w:rFonts w:ascii="宋体" w:hAnsi="宋体"/>
          <w:w w:val="90"/>
          <w:sz w:val="28"/>
          <w:szCs w:val="28"/>
        </w:rPr>
        <w:t>目前公司已制定了</w:t>
      </w:r>
      <w:r>
        <w:rPr>
          <w:rFonts w:hint="eastAsia" w:ascii="宋体" w:hAnsi="宋体"/>
          <w:w w:val="90"/>
          <w:sz w:val="28"/>
          <w:szCs w:val="28"/>
        </w:rPr>
        <w:t>一系列</w:t>
      </w:r>
      <w:r>
        <w:rPr>
          <w:rFonts w:ascii="宋体" w:hAnsi="宋体"/>
          <w:w w:val="90"/>
          <w:sz w:val="28"/>
          <w:szCs w:val="28"/>
        </w:rPr>
        <w:t>的质量控制措施，涵盖了从产品研发、原材料采购、产品生产、产品检验、性能测试、包装储运到客户服务等各个环节，对各部门的质量控制工作进行有效的指导和监督；同时，公司以满足客户要求作为标准，由各专门部门负责，认真抓好产品质量的持续改进工作。</w:t>
      </w:r>
    </w:p>
    <w:p w14:paraId="488E7568">
      <w:pPr>
        <w:pStyle w:val="12"/>
        <w:adjustRightInd w:val="0"/>
        <w:spacing w:after="0" w:line="300" w:lineRule="auto"/>
        <w:ind w:left="0" w:leftChars="0" w:firstLine="506" w:firstLineChars="200"/>
        <w:rPr>
          <w:rFonts w:ascii="宋体" w:hAnsi="宋体"/>
          <w:b/>
          <w:w w:val="90"/>
          <w:sz w:val="28"/>
          <w:szCs w:val="28"/>
        </w:rPr>
      </w:pPr>
      <w:r>
        <w:rPr>
          <w:rFonts w:ascii="宋体" w:hAnsi="宋体"/>
          <w:b/>
          <w:w w:val="90"/>
          <w:sz w:val="28"/>
          <w:szCs w:val="28"/>
        </w:rPr>
        <w:t>三、遵守</w:t>
      </w:r>
      <w:r>
        <w:rPr>
          <w:rFonts w:hint="eastAsia" w:ascii="宋体" w:hAnsi="宋体"/>
          <w:b/>
          <w:w w:val="90"/>
          <w:sz w:val="28"/>
          <w:szCs w:val="28"/>
        </w:rPr>
        <w:t>国家法律法规的</w:t>
      </w:r>
      <w:r>
        <w:rPr>
          <w:rFonts w:ascii="宋体" w:hAnsi="宋体"/>
          <w:b/>
          <w:w w:val="90"/>
          <w:sz w:val="28"/>
          <w:szCs w:val="28"/>
        </w:rPr>
        <w:t>社会责任</w:t>
      </w:r>
    </w:p>
    <w:p w14:paraId="6A9990CD">
      <w:pPr>
        <w:autoSpaceDE w:val="0"/>
        <w:autoSpaceDN w:val="0"/>
        <w:adjustRightInd w:val="0"/>
        <w:spacing w:line="300" w:lineRule="auto"/>
        <w:ind w:firstLine="482"/>
        <w:rPr>
          <w:rFonts w:ascii="宋体" w:hAnsi="宋体"/>
          <w:w w:val="90"/>
          <w:sz w:val="28"/>
          <w:szCs w:val="28"/>
        </w:rPr>
      </w:pPr>
      <w:r>
        <w:rPr>
          <w:rFonts w:hint="eastAsia" w:ascii="宋体" w:hAnsi="宋体"/>
          <w:w w:val="90"/>
          <w:sz w:val="28"/>
          <w:szCs w:val="28"/>
        </w:rPr>
        <w:t>公司的产品、服务和运营主要涉及质量安全、环境保护、能源节约、资源综合利用、安全生产、公共卫生等方面的影响。公司严格按照《台州市环境污染防治规定》、《台州市大气污染防治条例》、《台州市纳管污水预处理设施管理办法》、《浙江省安全生产条例》等法律法规，制订了《生产安全事故专项应急预案》、《生产安全事故综合应急预案》、《安全管理制度》、《员工手册》、《设备操作使用规程》和《特种设备操作使用规程》等制度。</w:t>
      </w:r>
      <w:r>
        <w:rPr>
          <w:rFonts w:ascii="宋体" w:hAnsi="宋体"/>
          <w:w w:val="90"/>
          <w:sz w:val="28"/>
          <w:szCs w:val="28"/>
        </w:rPr>
        <w:t>近三年，公司的废水、废气、噪声均达到国家和地方规定的排放标准；公司工业固废均进行了处理、处置，危险废物处置率达100%；公司污染治理设施落实专人操作管理，环保设施稳定运行率达9</w:t>
      </w:r>
      <w:r>
        <w:rPr>
          <w:rFonts w:hint="eastAsia" w:ascii="宋体" w:hAnsi="宋体"/>
          <w:w w:val="90"/>
          <w:sz w:val="28"/>
          <w:szCs w:val="28"/>
        </w:rPr>
        <w:t>9</w:t>
      </w:r>
      <w:r>
        <w:rPr>
          <w:rFonts w:ascii="宋体" w:hAnsi="宋体"/>
          <w:w w:val="90"/>
          <w:sz w:val="28"/>
          <w:szCs w:val="28"/>
        </w:rPr>
        <w:t>%以上；公司依法领取了排污许可证，排放的污染物达到国家规定的标准，排放总量在控制范围内</w:t>
      </w:r>
      <w:r>
        <w:rPr>
          <w:rFonts w:hint="eastAsia" w:ascii="宋体" w:hAnsi="宋体"/>
          <w:w w:val="90"/>
          <w:sz w:val="28"/>
          <w:szCs w:val="28"/>
        </w:rPr>
        <w:t>。</w:t>
      </w:r>
      <w:r>
        <w:rPr>
          <w:rFonts w:ascii="宋体" w:hAnsi="宋体"/>
          <w:w w:val="90"/>
          <w:sz w:val="28"/>
          <w:szCs w:val="28"/>
        </w:rPr>
        <w:t>公司已经过清洁生产审核。</w:t>
      </w:r>
    </w:p>
    <w:p w14:paraId="128F0AC7">
      <w:pPr>
        <w:pStyle w:val="2"/>
      </w:pPr>
    </w:p>
    <w:p w14:paraId="188F4391">
      <w:pPr>
        <w:pStyle w:val="2"/>
        <w:rPr>
          <w:rFonts w:hint="eastAsia"/>
        </w:rPr>
      </w:pPr>
    </w:p>
    <w:p w14:paraId="1F1E6DE2">
      <w:pPr>
        <w:pStyle w:val="128"/>
        <w:spacing w:before="93" w:after="62"/>
        <w:rPr>
          <w:rFonts w:hint="eastAsia" w:ascii="宋体" w:hAnsi="宋体"/>
          <w:w w:val="90"/>
          <w:sz w:val="28"/>
          <w:szCs w:val="28"/>
        </w:rPr>
      </w:pPr>
      <w:r>
        <w:rPr>
          <w:rFonts w:ascii="宋体" w:hAnsi="宋体"/>
          <w:w w:val="90"/>
          <w:sz w:val="28"/>
          <w:szCs w:val="28"/>
        </w:rPr>
        <w:t>公司近三年公共责任结果</w:t>
      </w:r>
    </w:p>
    <w:tbl>
      <w:tblPr>
        <w:tblStyle w:val="35"/>
        <w:tblW w:w="923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434"/>
        <w:gridCol w:w="1842"/>
        <w:gridCol w:w="2127"/>
        <w:gridCol w:w="1831"/>
      </w:tblGrid>
      <w:tr w14:paraId="2FF11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3434" w:type="dxa"/>
            <w:shd w:val="clear" w:color="auto" w:fill="003399"/>
            <w:noWrap w:val="0"/>
            <w:vAlign w:val="center"/>
          </w:tcPr>
          <w:p w14:paraId="50D606C4">
            <w:pPr>
              <w:jc w:val="center"/>
              <w:rPr>
                <w:b/>
                <w:color w:val="FFFFFF"/>
                <w:szCs w:val="21"/>
              </w:rPr>
            </w:pPr>
            <w:bookmarkStart w:id="0" w:name="_Hlk159704004"/>
            <w:r>
              <w:rPr>
                <w:rFonts w:hint="eastAsia"/>
                <w:b/>
                <w:color w:val="FFFFFF"/>
                <w:szCs w:val="21"/>
              </w:rPr>
              <w:t>项目</w:t>
            </w:r>
          </w:p>
        </w:tc>
        <w:tc>
          <w:tcPr>
            <w:tcW w:w="1842" w:type="dxa"/>
            <w:shd w:val="clear" w:color="auto" w:fill="003399"/>
            <w:noWrap w:val="0"/>
            <w:vAlign w:val="center"/>
          </w:tcPr>
          <w:p w14:paraId="6DF7875F">
            <w:pPr>
              <w:widowControl/>
              <w:jc w:val="center"/>
              <w:rPr>
                <w:b/>
                <w:color w:val="FFFFFF"/>
                <w:szCs w:val="21"/>
              </w:rPr>
            </w:pPr>
            <w:r>
              <w:rPr>
                <w:b/>
                <w:color w:val="FFFFFF"/>
                <w:szCs w:val="21"/>
              </w:rPr>
              <w:t>20</w:t>
            </w:r>
            <w:r>
              <w:rPr>
                <w:rFonts w:hint="eastAsia"/>
                <w:b/>
                <w:color w:val="FFFFFF"/>
                <w:szCs w:val="21"/>
              </w:rPr>
              <w:t>22年</w:t>
            </w:r>
          </w:p>
        </w:tc>
        <w:tc>
          <w:tcPr>
            <w:tcW w:w="2127" w:type="dxa"/>
            <w:shd w:val="clear" w:color="auto" w:fill="003399"/>
            <w:noWrap w:val="0"/>
            <w:vAlign w:val="center"/>
          </w:tcPr>
          <w:p w14:paraId="4CD06181">
            <w:pPr>
              <w:widowControl/>
              <w:jc w:val="center"/>
              <w:rPr>
                <w:b/>
                <w:color w:val="FFFFFF"/>
                <w:szCs w:val="21"/>
              </w:rPr>
            </w:pPr>
            <w:r>
              <w:rPr>
                <w:b/>
                <w:color w:val="FFFFFF"/>
                <w:szCs w:val="21"/>
              </w:rPr>
              <w:t>20</w:t>
            </w:r>
            <w:r>
              <w:rPr>
                <w:rFonts w:hint="eastAsia"/>
                <w:b/>
                <w:color w:val="FFFFFF"/>
                <w:szCs w:val="21"/>
              </w:rPr>
              <w:t>23年</w:t>
            </w:r>
          </w:p>
        </w:tc>
        <w:tc>
          <w:tcPr>
            <w:tcW w:w="1831" w:type="dxa"/>
            <w:shd w:val="clear" w:color="auto" w:fill="003399"/>
            <w:noWrap w:val="0"/>
            <w:vAlign w:val="center"/>
          </w:tcPr>
          <w:p w14:paraId="32870CEC">
            <w:pPr>
              <w:widowControl/>
              <w:jc w:val="center"/>
              <w:rPr>
                <w:b/>
                <w:color w:val="FFFFFF"/>
                <w:szCs w:val="21"/>
              </w:rPr>
            </w:pPr>
            <w:r>
              <w:rPr>
                <w:b/>
                <w:color w:val="FFFFFF"/>
                <w:szCs w:val="21"/>
              </w:rPr>
              <w:t>20</w:t>
            </w:r>
            <w:r>
              <w:rPr>
                <w:rFonts w:hint="eastAsia"/>
                <w:b/>
                <w:color w:val="FFFFFF"/>
                <w:szCs w:val="21"/>
              </w:rPr>
              <w:t>24年</w:t>
            </w:r>
          </w:p>
        </w:tc>
      </w:tr>
      <w:tr w14:paraId="17EAF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434" w:type="dxa"/>
            <w:noWrap w:val="0"/>
            <w:vAlign w:val="center"/>
          </w:tcPr>
          <w:p w14:paraId="5CAA4EEE">
            <w:pPr>
              <w:rPr>
                <w:rFonts w:hint="eastAsia"/>
                <w:szCs w:val="21"/>
              </w:rPr>
            </w:pPr>
            <w:r>
              <w:rPr>
                <w:rFonts w:hint="eastAsia"/>
                <w:szCs w:val="21"/>
              </w:rPr>
              <w:t>单位产品综合能耗同比下降≥2％</w:t>
            </w:r>
          </w:p>
        </w:tc>
        <w:tc>
          <w:tcPr>
            <w:tcW w:w="1842" w:type="dxa"/>
            <w:noWrap w:val="0"/>
            <w:vAlign w:val="center"/>
          </w:tcPr>
          <w:p w14:paraId="0D8A0D66">
            <w:pPr>
              <w:jc w:val="center"/>
              <w:rPr>
                <w:szCs w:val="21"/>
              </w:rPr>
            </w:pPr>
            <w:r>
              <w:rPr>
                <w:rFonts w:hint="eastAsia"/>
                <w:szCs w:val="21"/>
              </w:rPr>
              <w:t>1.82%</w:t>
            </w:r>
          </w:p>
        </w:tc>
        <w:tc>
          <w:tcPr>
            <w:tcW w:w="2127" w:type="dxa"/>
            <w:noWrap w:val="0"/>
            <w:vAlign w:val="center"/>
          </w:tcPr>
          <w:p w14:paraId="6FF7CD0B">
            <w:pPr>
              <w:jc w:val="center"/>
            </w:pPr>
            <w:r>
              <w:rPr>
                <w:rFonts w:hint="eastAsia"/>
                <w:szCs w:val="21"/>
              </w:rPr>
              <w:t>1.78%</w:t>
            </w:r>
          </w:p>
        </w:tc>
        <w:tc>
          <w:tcPr>
            <w:tcW w:w="1831" w:type="dxa"/>
            <w:noWrap w:val="0"/>
            <w:vAlign w:val="center"/>
          </w:tcPr>
          <w:p w14:paraId="0823AB71">
            <w:pPr>
              <w:jc w:val="center"/>
            </w:pPr>
            <w:r>
              <w:rPr>
                <w:rFonts w:hint="eastAsia"/>
                <w:szCs w:val="21"/>
              </w:rPr>
              <w:t>1.65%</w:t>
            </w:r>
          </w:p>
        </w:tc>
      </w:tr>
      <w:tr w14:paraId="6380F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434" w:type="dxa"/>
            <w:noWrap w:val="0"/>
            <w:vAlign w:val="center"/>
          </w:tcPr>
          <w:p w14:paraId="234CE592">
            <w:pPr>
              <w:jc w:val="left"/>
              <w:rPr>
                <w:szCs w:val="21"/>
              </w:rPr>
            </w:pPr>
            <w:r>
              <w:rPr>
                <w:rFonts w:hint="eastAsia"/>
                <w:szCs w:val="21"/>
              </w:rPr>
              <w:t>废气达标排放</w:t>
            </w:r>
          </w:p>
        </w:tc>
        <w:tc>
          <w:tcPr>
            <w:tcW w:w="1842" w:type="dxa"/>
            <w:noWrap w:val="0"/>
            <w:vAlign w:val="center"/>
          </w:tcPr>
          <w:p w14:paraId="2EC6A9EC">
            <w:pPr>
              <w:jc w:val="center"/>
            </w:pPr>
            <w:r>
              <w:rPr>
                <w:rFonts w:hint="eastAsia" w:ascii="宋体" w:hAnsi="宋体"/>
                <w:sz w:val="18"/>
                <w:szCs w:val="18"/>
              </w:rPr>
              <w:t>排放</w:t>
            </w:r>
          </w:p>
        </w:tc>
        <w:tc>
          <w:tcPr>
            <w:tcW w:w="2127" w:type="dxa"/>
            <w:noWrap w:val="0"/>
            <w:vAlign w:val="center"/>
          </w:tcPr>
          <w:p w14:paraId="4F0588DB">
            <w:pPr>
              <w:jc w:val="center"/>
            </w:pPr>
            <w:r>
              <w:rPr>
                <w:rFonts w:hint="eastAsia" w:ascii="宋体" w:hAnsi="宋体"/>
                <w:sz w:val="18"/>
                <w:szCs w:val="18"/>
              </w:rPr>
              <w:t>排放</w:t>
            </w:r>
          </w:p>
        </w:tc>
        <w:tc>
          <w:tcPr>
            <w:tcW w:w="1831" w:type="dxa"/>
            <w:noWrap w:val="0"/>
            <w:vAlign w:val="center"/>
          </w:tcPr>
          <w:p w14:paraId="3F2F0C75">
            <w:pPr>
              <w:jc w:val="center"/>
            </w:pPr>
            <w:r>
              <w:rPr>
                <w:rFonts w:hint="eastAsia" w:ascii="宋体" w:hAnsi="宋体"/>
                <w:sz w:val="18"/>
                <w:szCs w:val="18"/>
              </w:rPr>
              <w:t>排放</w:t>
            </w:r>
          </w:p>
        </w:tc>
      </w:tr>
      <w:tr w14:paraId="13EF9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434" w:type="dxa"/>
            <w:noWrap w:val="0"/>
            <w:vAlign w:val="center"/>
          </w:tcPr>
          <w:p w14:paraId="00BDF7E4">
            <w:pPr>
              <w:jc w:val="left"/>
              <w:rPr>
                <w:rFonts w:hint="eastAsia"/>
                <w:szCs w:val="21"/>
              </w:rPr>
            </w:pPr>
            <w:r>
              <w:rPr>
                <w:rFonts w:hint="eastAsia"/>
                <w:szCs w:val="21"/>
              </w:rPr>
              <w:t>水体达标排放</w:t>
            </w:r>
          </w:p>
        </w:tc>
        <w:tc>
          <w:tcPr>
            <w:tcW w:w="1842" w:type="dxa"/>
            <w:noWrap w:val="0"/>
            <w:vAlign w:val="center"/>
          </w:tcPr>
          <w:p w14:paraId="2D80FCAF">
            <w:pPr>
              <w:jc w:val="center"/>
            </w:pPr>
            <w:r>
              <w:rPr>
                <w:rFonts w:hint="eastAsia" w:ascii="宋体" w:hAnsi="宋体"/>
                <w:sz w:val="18"/>
                <w:szCs w:val="18"/>
              </w:rPr>
              <w:t>排放</w:t>
            </w:r>
          </w:p>
        </w:tc>
        <w:tc>
          <w:tcPr>
            <w:tcW w:w="2127" w:type="dxa"/>
            <w:noWrap w:val="0"/>
            <w:vAlign w:val="center"/>
          </w:tcPr>
          <w:p w14:paraId="2CA55D7F">
            <w:pPr>
              <w:jc w:val="center"/>
            </w:pPr>
            <w:r>
              <w:rPr>
                <w:rFonts w:hint="eastAsia" w:ascii="宋体" w:hAnsi="宋体"/>
                <w:sz w:val="18"/>
                <w:szCs w:val="18"/>
              </w:rPr>
              <w:t>排放</w:t>
            </w:r>
          </w:p>
        </w:tc>
        <w:tc>
          <w:tcPr>
            <w:tcW w:w="1831" w:type="dxa"/>
            <w:noWrap w:val="0"/>
            <w:vAlign w:val="center"/>
          </w:tcPr>
          <w:p w14:paraId="24C98FFC">
            <w:pPr>
              <w:jc w:val="center"/>
            </w:pPr>
            <w:r>
              <w:rPr>
                <w:rFonts w:hint="eastAsia" w:ascii="宋体" w:hAnsi="宋体"/>
                <w:sz w:val="18"/>
                <w:szCs w:val="18"/>
              </w:rPr>
              <w:t>排放</w:t>
            </w:r>
          </w:p>
        </w:tc>
      </w:tr>
      <w:tr w14:paraId="40D21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434" w:type="dxa"/>
            <w:noWrap w:val="0"/>
            <w:vAlign w:val="center"/>
          </w:tcPr>
          <w:p w14:paraId="2778EFCB">
            <w:pPr>
              <w:jc w:val="left"/>
              <w:rPr>
                <w:rFonts w:hint="eastAsia"/>
                <w:szCs w:val="21"/>
              </w:rPr>
            </w:pPr>
            <w:r>
              <w:rPr>
                <w:rFonts w:hint="eastAsia"/>
                <w:szCs w:val="21"/>
              </w:rPr>
              <w:t>固体废物分类处置</w:t>
            </w:r>
          </w:p>
        </w:tc>
        <w:tc>
          <w:tcPr>
            <w:tcW w:w="1842" w:type="dxa"/>
            <w:noWrap w:val="0"/>
            <w:vAlign w:val="center"/>
          </w:tcPr>
          <w:p w14:paraId="050C8EB9">
            <w:pPr>
              <w:jc w:val="center"/>
              <w:rPr>
                <w:rFonts w:hint="eastAsia"/>
                <w:szCs w:val="21"/>
              </w:rPr>
            </w:pPr>
            <w:r>
              <w:rPr>
                <w:rFonts w:hint="eastAsia"/>
                <w:szCs w:val="21"/>
              </w:rPr>
              <w:t>100%</w:t>
            </w:r>
          </w:p>
        </w:tc>
        <w:tc>
          <w:tcPr>
            <w:tcW w:w="2127" w:type="dxa"/>
            <w:noWrap w:val="0"/>
            <w:vAlign w:val="center"/>
          </w:tcPr>
          <w:p w14:paraId="68E89A0A">
            <w:pPr>
              <w:jc w:val="center"/>
            </w:pPr>
            <w:r>
              <w:rPr>
                <w:rFonts w:hint="eastAsia"/>
                <w:szCs w:val="21"/>
              </w:rPr>
              <w:t>100%</w:t>
            </w:r>
          </w:p>
        </w:tc>
        <w:tc>
          <w:tcPr>
            <w:tcW w:w="1831" w:type="dxa"/>
            <w:noWrap w:val="0"/>
            <w:vAlign w:val="center"/>
          </w:tcPr>
          <w:p w14:paraId="58BDB724">
            <w:pPr>
              <w:jc w:val="center"/>
            </w:pPr>
            <w:r>
              <w:rPr>
                <w:rFonts w:hint="eastAsia"/>
                <w:szCs w:val="21"/>
              </w:rPr>
              <w:t>100%</w:t>
            </w:r>
          </w:p>
        </w:tc>
      </w:tr>
      <w:tr w14:paraId="193E02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434" w:type="dxa"/>
            <w:noWrap w:val="0"/>
            <w:vAlign w:val="center"/>
          </w:tcPr>
          <w:p w14:paraId="56CA691B">
            <w:pPr>
              <w:jc w:val="left"/>
              <w:rPr>
                <w:szCs w:val="21"/>
              </w:rPr>
            </w:pPr>
            <w:r>
              <w:rPr>
                <w:rFonts w:hint="eastAsia"/>
                <w:szCs w:val="21"/>
              </w:rPr>
              <w:t>重伤及重伤以上人身伤害事故</w:t>
            </w:r>
          </w:p>
        </w:tc>
        <w:tc>
          <w:tcPr>
            <w:tcW w:w="1842" w:type="dxa"/>
            <w:noWrap w:val="0"/>
            <w:vAlign w:val="center"/>
          </w:tcPr>
          <w:p w14:paraId="1CC5F30F">
            <w:pPr>
              <w:jc w:val="center"/>
              <w:rPr>
                <w:szCs w:val="21"/>
              </w:rPr>
            </w:pPr>
            <w:r>
              <w:rPr>
                <w:rFonts w:hint="eastAsia"/>
                <w:szCs w:val="21"/>
              </w:rPr>
              <w:t>0</w:t>
            </w:r>
          </w:p>
        </w:tc>
        <w:tc>
          <w:tcPr>
            <w:tcW w:w="2127" w:type="dxa"/>
            <w:noWrap w:val="0"/>
            <w:vAlign w:val="center"/>
          </w:tcPr>
          <w:p w14:paraId="7FB1615D">
            <w:pPr>
              <w:jc w:val="center"/>
              <w:rPr>
                <w:szCs w:val="21"/>
              </w:rPr>
            </w:pPr>
            <w:r>
              <w:rPr>
                <w:rFonts w:hint="eastAsia"/>
                <w:szCs w:val="21"/>
              </w:rPr>
              <w:t>0</w:t>
            </w:r>
          </w:p>
        </w:tc>
        <w:tc>
          <w:tcPr>
            <w:tcW w:w="1831" w:type="dxa"/>
            <w:noWrap w:val="0"/>
            <w:vAlign w:val="center"/>
          </w:tcPr>
          <w:p w14:paraId="184A0FFC">
            <w:pPr>
              <w:jc w:val="center"/>
              <w:rPr>
                <w:szCs w:val="21"/>
              </w:rPr>
            </w:pPr>
            <w:r>
              <w:rPr>
                <w:rFonts w:hint="eastAsia"/>
                <w:szCs w:val="21"/>
              </w:rPr>
              <w:t>0</w:t>
            </w:r>
          </w:p>
        </w:tc>
      </w:tr>
      <w:bookmarkEnd w:id="0"/>
    </w:tbl>
    <w:p w14:paraId="3AFC83D9">
      <w:pPr>
        <w:adjustRightInd w:val="0"/>
        <w:spacing w:line="300" w:lineRule="auto"/>
        <w:ind w:firstLine="512" w:firstLineChars="200"/>
        <w:rPr>
          <w:rFonts w:hint="eastAsia" w:ascii="宋体" w:hAnsi="宋体"/>
          <w:bCs/>
          <w:color w:val="000000"/>
          <w:spacing w:val="2"/>
          <w:w w:val="90"/>
          <w:sz w:val="28"/>
          <w:szCs w:val="28"/>
        </w:rPr>
      </w:pPr>
      <w:r>
        <w:rPr>
          <w:rFonts w:ascii="宋体" w:hAnsi="宋体"/>
          <w:spacing w:val="2"/>
          <w:w w:val="90"/>
          <w:sz w:val="28"/>
          <w:szCs w:val="28"/>
        </w:rPr>
        <w:t>公司非常关注自身</w:t>
      </w:r>
      <w:r>
        <w:rPr>
          <w:rFonts w:ascii="宋体" w:hAnsi="宋体"/>
          <w:w w:val="90"/>
          <w:sz w:val="28"/>
          <w:szCs w:val="28"/>
        </w:rPr>
        <w:t>产品、服务及运营方面对未来</w:t>
      </w:r>
      <w:r>
        <w:rPr>
          <w:rFonts w:hint="eastAsia" w:ascii="宋体" w:hAnsi="宋体"/>
          <w:w w:val="90"/>
          <w:sz w:val="28"/>
          <w:szCs w:val="28"/>
        </w:rPr>
        <w:t>质量安全、</w:t>
      </w:r>
      <w:r>
        <w:rPr>
          <w:rFonts w:ascii="宋体" w:hAnsi="宋体"/>
          <w:w w:val="90"/>
          <w:sz w:val="28"/>
          <w:szCs w:val="28"/>
        </w:rPr>
        <w:t>环境、能源消耗、资源综合利用</w:t>
      </w:r>
      <w:r>
        <w:rPr>
          <w:rFonts w:hint="eastAsia" w:ascii="宋体" w:hAnsi="宋体"/>
          <w:w w:val="90"/>
          <w:sz w:val="28"/>
          <w:szCs w:val="28"/>
        </w:rPr>
        <w:t>以及公共卫生</w:t>
      </w:r>
      <w:r>
        <w:rPr>
          <w:rFonts w:ascii="宋体" w:hAnsi="宋体"/>
          <w:w w:val="90"/>
          <w:sz w:val="28"/>
          <w:szCs w:val="28"/>
        </w:rPr>
        <w:t>等</w:t>
      </w:r>
      <w:r>
        <w:rPr>
          <w:szCs w:val="21"/>
        </w:rPr>
        <w:t>方面</w:t>
      </w:r>
      <w:r>
        <w:rPr>
          <w:rFonts w:ascii="宋体" w:hAnsi="宋体"/>
          <w:w w:val="90"/>
          <w:sz w:val="28"/>
          <w:szCs w:val="28"/>
        </w:rPr>
        <w:t>可能存在的公众隐忧，积极研究对策并预先做出应对准备</w:t>
      </w:r>
      <w:r>
        <w:rPr>
          <w:rFonts w:ascii="宋体" w:hAnsi="宋体"/>
          <w:bCs/>
          <w:color w:val="000000"/>
          <w:spacing w:val="2"/>
          <w:w w:val="90"/>
          <w:sz w:val="28"/>
          <w:szCs w:val="28"/>
        </w:rPr>
        <w:t>。</w:t>
      </w:r>
      <w:r>
        <w:rPr>
          <w:rFonts w:hint="eastAsia" w:ascii="宋体" w:hAnsi="宋体"/>
          <w:bCs/>
          <w:color w:val="000000"/>
          <w:spacing w:val="2"/>
          <w:w w:val="90"/>
          <w:sz w:val="28"/>
          <w:szCs w:val="28"/>
        </w:rPr>
        <w:t>为此，公司制定了《生产安全事故专项应急预案》和《生产安全事故综合应急预案》，充分将上述公众隐忧纳入制度规范。具体见下表：</w:t>
      </w:r>
    </w:p>
    <w:p w14:paraId="6A2BAE6B">
      <w:pPr>
        <w:pStyle w:val="95"/>
        <w:spacing w:before="156" w:beforeLines="50" w:afterLines="0" w:line="300" w:lineRule="auto"/>
        <w:rPr>
          <w:rFonts w:hint="eastAsia" w:ascii="宋体" w:hAnsi="宋体"/>
          <w:w w:val="90"/>
          <w:sz w:val="28"/>
          <w:szCs w:val="28"/>
        </w:rPr>
      </w:pPr>
      <w:r>
        <w:rPr>
          <w:rFonts w:hint="eastAsia" w:ascii="宋体" w:hAnsi="宋体"/>
          <w:w w:val="90"/>
          <w:sz w:val="28"/>
          <w:szCs w:val="28"/>
        </w:rPr>
        <w:t>对公众和环境的隐忧预见及应对</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2338"/>
        <w:gridCol w:w="5302"/>
      </w:tblGrid>
      <w:tr w14:paraId="32D7D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tblHeader/>
          <w:jc w:val="center"/>
        </w:trPr>
        <w:tc>
          <w:tcPr>
            <w:tcW w:w="1260" w:type="dxa"/>
            <w:tcBorders>
              <w:top w:val="single" w:color="auto" w:sz="12" w:space="0"/>
              <w:bottom w:val="single" w:color="auto" w:sz="6" w:space="0"/>
            </w:tcBorders>
            <w:shd w:val="clear" w:color="auto" w:fill="000080"/>
            <w:noWrap w:val="0"/>
            <w:vAlign w:val="center"/>
          </w:tcPr>
          <w:p w14:paraId="505D40DD">
            <w:pPr>
              <w:widowControl/>
              <w:spacing w:line="280" w:lineRule="exact"/>
              <w:jc w:val="center"/>
              <w:rPr>
                <w:rFonts w:ascii="宋体" w:hAnsi="宋体" w:cs="宋体"/>
                <w:b/>
                <w:bCs/>
                <w:kern w:val="0"/>
                <w:szCs w:val="21"/>
              </w:rPr>
            </w:pPr>
            <w:r>
              <w:rPr>
                <w:rFonts w:hint="eastAsia" w:ascii="宋体" w:hAnsi="宋体" w:cs="宋体"/>
                <w:b/>
                <w:bCs/>
                <w:kern w:val="0"/>
                <w:szCs w:val="21"/>
              </w:rPr>
              <w:t>控制项目</w:t>
            </w:r>
          </w:p>
        </w:tc>
        <w:tc>
          <w:tcPr>
            <w:tcW w:w="2338" w:type="dxa"/>
            <w:tcBorders>
              <w:top w:val="single" w:color="auto" w:sz="12" w:space="0"/>
              <w:bottom w:val="single" w:color="auto" w:sz="6" w:space="0"/>
            </w:tcBorders>
            <w:shd w:val="clear" w:color="auto" w:fill="000080"/>
            <w:noWrap w:val="0"/>
            <w:vAlign w:val="center"/>
          </w:tcPr>
          <w:p w14:paraId="1345C869">
            <w:pPr>
              <w:widowControl/>
              <w:spacing w:line="280" w:lineRule="exact"/>
              <w:jc w:val="center"/>
              <w:rPr>
                <w:rFonts w:ascii="宋体" w:hAnsi="宋体" w:cs="宋体"/>
                <w:b/>
                <w:bCs/>
                <w:kern w:val="0"/>
                <w:szCs w:val="21"/>
              </w:rPr>
            </w:pPr>
            <w:r>
              <w:rPr>
                <w:rFonts w:hint="eastAsia" w:ascii="宋体" w:hAnsi="宋体" w:cs="宋体"/>
                <w:b/>
                <w:bCs/>
                <w:kern w:val="0"/>
                <w:szCs w:val="21"/>
              </w:rPr>
              <w:t>隐忧</w:t>
            </w:r>
          </w:p>
        </w:tc>
        <w:tc>
          <w:tcPr>
            <w:tcW w:w="5302" w:type="dxa"/>
            <w:tcBorders>
              <w:top w:val="single" w:color="auto" w:sz="12" w:space="0"/>
              <w:bottom w:val="single" w:color="auto" w:sz="6" w:space="0"/>
            </w:tcBorders>
            <w:shd w:val="clear" w:color="auto" w:fill="000080"/>
            <w:noWrap w:val="0"/>
            <w:vAlign w:val="center"/>
          </w:tcPr>
          <w:p w14:paraId="6F977A9F">
            <w:pPr>
              <w:widowControl/>
              <w:spacing w:line="280" w:lineRule="exact"/>
              <w:jc w:val="center"/>
              <w:rPr>
                <w:rFonts w:ascii="宋体" w:hAnsi="宋体" w:cs="宋体"/>
                <w:b/>
                <w:bCs/>
                <w:kern w:val="0"/>
                <w:szCs w:val="21"/>
              </w:rPr>
            </w:pPr>
            <w:r>
              <w:rPr>
                <w:rFonts w:hint="eastAsia" w:ascii="宋体" w:hAnsi="宋体" w:cs="宋体"/>
                <w:b/>
                <w:bCs/>
                <w:kern w:val="0"/>
                <w:szCs w:val="21"/>
              </w:rPr>
              <w:t>提前的准备</w:t>
            </w:r>
          </w:p>
        </w:tc>
      </w:tr>
      <w:tr w14:paraId="7AB72F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1260" w:type="dxa"/>
            <w:vMerge w:val="restart"/>
            <w:tcBorders>
              <w:top w:val="single" w:color="auto" w:sz="6" w:space="0"/>
            </w:tcBorders>
            <w:noWrap w:val="0"/>
            <w:vAlign w:val="center"/>
          </w:tcPr>
          <w:p w14:paraId="338EE552">
            <w:pPr>
              <w:widowControl/>
              <w:spacing w:line="280" w:lineRule="exact"/>
              <w:jc w:val="center"/>
              <w:rPr>
                <w:rFonts w:ascii="宋体" w:hAnsi="宋体" w:cs="宋体"/>
                <w:kern w:val="0"/>
                <w:szCs w:val="21"/>
              </w:rPr>
            </w:pPr>
            <w:r>
              <w:rPr>
                <w:rFonts w:hint="eastAsia" w:ascii="宋体" w:hAnsi="宋体" w:cs="宋体"/>
                <w:kern w:val="0"/>
                <w:szCs w:val="21"/>
              </w:rPr>
              <w:t>环境保护    能源消耗     资源综合利用</w:t>
            </w:r>
          </w:p>
        </w:tc>
        <w:tc>
          <w:tcPr>
            <w:tcW w:w="2338" w:type="dxa"/>
            <w:vMerge w:val="restart"/>
            <w:tcBorders>
              <w:top w:val="single" w:color="auto" w:sz="6" w:space="0"/>
            </w:tcBorders>
            <w:noWrap w:val="0"/>
            <w:vAlign w:val="center"/>
          </w:tcPr>
          <w:p w14:paraId="36094B89">
            <w:pPr>
              <w:widowControl/>
              <w:spacing w:line="280" w:lineRule="exact"/>
              <w:jc w:val="left"/>
              <w:rPr>
                <w:rFonts w:ascii="宋体" w:hAnsi="宋体" w:cs="宋体"/>
                <w:kern w:val="0"/>
                <w:szCs w:val="21"/>
              </w:rPr>
            </w:pPr>
            <w:r>
              <w:rPr>
                <w:rFonts w:hint="eastAsia" w:ascii="宋体" w:hAnsi="宋体" w:cs="宋体"/>
                <w:kern w:val="0"/>
                <w:szCs w:val="21"/>
              </w:rPr>
              <w:t>随着人类生存环境的不断遭到破坏，各国都加大了对环保、能耗和新能源开发的重视</w:t>
            </w:r>
          </w:p>
        </w:tc>
        <w:tc>
          <w:tcPr>
            <w:tcW w:w="5302" w:type="dxa"/>
            <w:tcBorders>
              <w:top w:val="single" w:color="auto" w:sz="6" w:space="0"/>
            </w:tcBorders>
            <w:noWrap w:val="0"/>
            <w:vAlign w:val="center"/>
          </w:tcPr>
          <w:p w14:paraId="01261C3B">
            <w:pPr>
              <w:widowControl/>
              <w:spacing w:line="280" w:lineRule="exact"/>
              <w:jc w:val="left"/>
              <w:rPr>
                <w:rFonts w:ascii="宋体" w:hAnsi="宋体" w:cs="宋体"/>
                <w:kern w:val="0"/>
                <w:szCs w:val="21"/>
              </w:rPr>
            </w:pPr>
            <w:r>
              <w:rPr>
                <w:rFonts w:hint="eastAsia" w:ascii="宋体" w:hAnsi="宋体" w:cs="宋体"/>
                <w:kern w:val="0"/>
                <w:szCs w:val="21"/>
              </w:rPr>
              <w:t>1、优化工艺提供原料利用率，减少木材使用。</w:t>
            </w:r>
          </w:p>
        </w:tc>
      </w:tr>
      <w:tr w14:paraId="3074E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260" w:type="dxa"/>
            <w:vMerge w:val="continue"/>
            <w:noWrap w:val="0"/>
            <w:vAlign w:val="center"/>
          </w:tcPr>
          <w:p w14:paraId="2A7A4709">
            <w:pPr>
              <w:widowControl/>
              <w:spacing w:line="280" w:lineRule="exact"/>
              <w:jc w:val="left"/>
              <w:rPr>
                <w:rFonts w:ascii="宋体" w:hAnsi="宋体" w:cs="宋体"/>
                <w:kern w:val="0"/>
                <w:szCs w:val="21"/>
              </w:rPr>
            </w:pPr>
          </w:p>
        </w:tc>
        <w:tc>
          <w:tcPr>
            <w:tcW w:w="2338" w:type="dxa"/>
            <w:vMerge w:val="continue"/>
            <w:noWrap w:val="0"/>
            <w:vAlign w:val="center"/>
          </w:tcPr>
          <w:p w14:paraId="79FFB61C">
            <w:pPr>
              <w:widowControl/>
              <w:spacing w:line="280" w:lineRule="exact"/>
              <w:jc w:val="left"/>
              <w:rPr>
                <w:rFonts w:ascii="宋体" w:hAnsi="宋体" w:cs="宋体"/>
                <w:kern w:val="0"/>
                <w:szCs w:val="21"/>
              </w:rPr>
            </w:pPr>
          </w:p>
        </w:tc>
        <w:tc>
          <w:tcPr>
            <w:tcW w:w="5302" w:type="dxa"/>
            <w:noWrap w:val="0"/>
            <w:vAlign w:val="center"/>
          </w:tcPr>
          <w:p w14:paraId="11C472EA">
            <w:pPr>
              <w:widowControl/>
              <w:spacing w:line="280" w:lineRule="exact"/>
              <w:jc w:val="left"/>
              <w:rPr>
                <w:rFonts w:ascii="宋体" w:hAnsi="宋体" w:cs="宋体"/>
                <w:kern w:val="0"/>
                <w:szCs w:val="21"/>
              </w:rPr>
            </w:pPr>
            <w:r>
              <w:rPr>
                <w:rFonts w:hint="eastAsia" w:ascii="宋体" w:hAnsi="宋体" w:cs="宋体"/>
                <w:kern w:val="0"/>
                <w:szCs w:val="21"/>
              </w:rPr>
              <w:t>2、设备自动化改造，实现节能减排，消除公众的隐忧</w:t>
            </w:r>
          </w:p>
        </w:tc>
      </w:tr>
      <w:tr w14:paraId="61BCC4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continue"/>
            <w:noWrap w:val="0"/>
            <w:vAlign w:val="center"/>
          </w:tcPr>
          <w:p w14:paraId="3D9C4E4C">
            <w:pPr>
              <w:widowControl/>
              <w:spacing w:line="280" w:lineRule="exact"/>
              <w:jc w:val="left"/>
              <w:rPr>
                <w:rFonts w:ascii="宋体" w:hAnsi="宋体" w:cs="宋体"/>
                <w:kern w:val="0"/>
                <w:szCs w:val="21"/>
              </w:rPr>
            </w:pPr>
          </w:p>
        </w:tc>
        <w:tc>
          <w:tcPr>
            <w:tcW w:w="2338" w:type="dxa"/>
            <w:vMerge w:val="continue"/>
            <w:noWrap w:val="0"/>
            <w:vAlign w:val="center"/>
          </w:tcPr>
          <w:p w14:paraId="359E3A41">
            <w:pPr>
              <w:widowControl/>
              <w:spacing w:line="280" w:lineRule="exact"/>
              <w:jc w:val="left"/>
              <w:rPr>
                <w:rFonts w:ascii="宋体" w:hAnsi="宋体" w:cs="宋体"/>
                <w:kern w:val="0"/>
                <w:szCs w:val="21"/>
              </w:rPr>
            </w:pPr>
          </w:p>
        </w:tc>
        <w:tc>
          <w:tcPr>
            <w:tcW w:w="5302" w:type="dxa"/>
            <w:noWrap w:val="0"/>
            <w:vAlign w:val="center"/>
          </w:tcPr>
          <w:p w14:paraId="367F26D2">
            <w:pPr>
              <w:widowControl/>
              <w:spacing w:line="280" w:lineRule="exact"/>
              <w:jc w:val="left"/>
              <w:rPr>
                <w:rFonts w:ascii="宋体" w:hAnsi="宋体" w:cs="宋体"/>
                <w:kern w:val="0"/>
                <w:szCs w:val="21"/>
              </w:rPr>
            </w:pPr>
            <w:r>
              <w:rPr>
                <w:rFonts w:hint="eastAsia" w:ascii="宋体" w:hAnsi="宋体" w:cs="宋体"/>
                <w:kern w:val="0"/>
                <w:szCs w:val="21"/>
              </w:rPr>
              <w:t>3、应用信息化</w:t>
            </w:r>
            <w:r>
              <w:rPr>
                <w:rFonts w:ascii="宋体" w:hAnsi="宋体" w:cs="宋体"/>
                <w:kern w:val="0"/>
                <w:szCs w:val="21"/>
              </w:rPr>
              <w:t>技术</w:t>
            </w:r>
            <w:r>
              <w:rPr>
                <w:rFonts w:hint="eastAsia" w:ascii="宋体" w:hAnsi="宋体" w:cs="宋体"/>
                <w:kern w:val="0"/>
                <w:szCs w:val="21"/>
              </w:rPr>
              <w:t>，采取远程</w:t>
            </w:r>
            <w:r>
              <w:rPr>
                <w:rFonts w:ascii="宋体" w:hAnsi="宋体" w:cs="宋体"/>
                <w:kern w:val="0"/>
                <w:szCs w:val="21"/>
              </w:rPr>
              <w:t>控制</w:t>
            </w:r>
            <w:r>
              <w:rPr>
                <w:rFonts w:hint="eastAsia" w:ascii="宋体" w:hAnsi="宋体" w:cs="宋体"/>
                <w:kern w:val="0"/>
                <w:szCs w:val="21"/>
              </w:rPr>
              <w:t>等</w:t>
            </w:r>
            <w:r>
              <w:rPr>
                <w:rFonts w:ascii="宋体" w:hAnsi="宋体" w:cs="宋体"/>
                <w:kern w:val="0"/>
                <w:szCs w:val="21"/>
              </w:rPr>
              <w:t>手段优化</w:t>
            </w:r>
            <w:r>
              <w:rPr>
                <w:rFonts w:hint="eastAsia" w:ascii="宋体" w:hAnsi="宋体" w:cs="宋体"/>
                <w:kern w:val="0"/>
                <w:szCs w:val="21"/>
              </w:rPr>
              <w:t>生产</w:t>
            </w:r>
            <w:r>
              <w:rPr>
                <w:rFonts w:ascii="宋体" w:hAnsi="宋体" w:cs="宋体"/>
                <w:kern w:val="0"/>
                <w:szCs w:val="21"/>
              </w:rPr>
              <w:t>准备期间的</w:t>
            </w:r>
            <w:r>
              <w:rPr>
                <w:rFonts w:hint="eastAsia" w:ascii="宋体" w:hAnsi="宋体" w:cs="宋体"/>
                <w:kern w:val="0"/>
                <w:szCs w:val="21"/>
              </w:rPr>
              <w:t>能源</w:t>
            </w:r>
            <w:r>
              <w:rPr>
                <w:rFonts w:ascii="宋体" w:hAnsi="宋体" w:cs="宋体"/>
                <w:kern w:val="0"/>
                <w:szCs w:val="21"/>
              </w:rPr>
              <w:t>利用</w:t>
            </w:r>
            <w:r>
              <w:rPr>
                <w:rFonts w:hint="eastAsia" w:ascii="宋体" w:hAnsi="宋体" w:cs="宋体"/>
                <w:kern w:val="0"/>
                <w:szCs w:val="21"/>
              </w:rPr>
              <w:t>。</w:t>
            </w:r>
          </w:p>
        </w:tc>
      </w:tr>
      <w:tr w14:paraId="6878C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restart"/>
            <w:noWrap w:val="0"/>
            <w:vAlign w:val="center"/>
          </w:tcPr>
          <w:p w14:paraId="2351FEC1">
            <w:pPr>
              <w:widowControl/>
              <w:spacing w:line="280" w:lineRule="exact"/>
              <w:jc w:val="left"/>
              <w:rPr>
                <w:rFonts w:ascii="宋体" w:hAnsi="宋体" w:cs="宋体"/>
                <w:kern w:val="0"/>
                <w:szCs w:val="21"/>
              </w:rPr>
            </w:pPr>
            <w:r>
              <w:rPr>
                <w:rFonts w:hint="eastAsia" w:ascii="宋体" w:hAnsi="宋体" w:cs="宋体"/>
                <w:kern w:val="0"/>
                <w:szCs w:val="21"/>
              </w:rPr>
              <w:t>产品</w:t>
            </w:r>
            <w:r>
              <w:rPr>
                <w:rFonts w:ascii="宋体" w:hAnsi="宋体" w:cs="宋体"/>
                <w:kern w:val="0"/>
                <w:szCs w:val="21"/>
              </w:rPr>
              <w:t>安全</w:t>
            </w:r>
          </w:p>
        </w:tc>
        <w:tc>
          <w:tcPr>
            <w:tcW w:w="2338" w:type="dxa"/>
            <w:vMerge w:val="restart"/>
            <w:noWrap w:val="0"/>
            <w:vAlign w:val="center"/>
          </w:tcPr>
          <w:p w14:paraId="5DABB741">
            <w:pPr>
              <w:widowControl/>
              <w:spacing w:line="280" w:lineRule="exact"/>
              <w:jc w:val="left"/>
              <w:rPr>
                <w:rFonts w:ascii="宋体" w:hAnsi="宋体" w:cs="宋体"/>
                <w:kern w:val="0"/>
                <w:szCs w:val="21"/>
              </w:rPr>
            </w:pPr>
            <w:r>
              <w:rPr>
                <w:rFonts w:hint="eastAsia" w:ascii="宋体" w:hAnsi="宋体" w:cs="宋体"/>
                <w:kern w:val="0"/>
                <w:szCs w:val="21"/>
              </w:rPr>
              <w:t>产品安全事故</w:t>
            </w:r>
            <w:r>
              <w:rPr>
                <w:rFonts w:ascii="宋体" w:hAnsi="宋体" w:cs="宋体"/>
                <w:kern w:val="0"/>
                <w:szCs w:val="21"/>
              </w:rPr>
              <w:t>往往伴随人员伤亡，是民众</w:t>
            </w:r>
            <w:r>
              <w:rPr>
                <w:rFonts w:hint="eastAsia" w:ascii="宋体" w:hAnsi="宋体" w:cs="宋体"/>
                <w:kern w:val="0"/>
                <w:szCs w:val="21"/>
              </w:rPr>
              <w:t>关心</w:t>
            </w:r>
            <w:r>
              <w:rPr>
                <w:rFonts w:ascii="宋体" w:hAnsi="宋体" w:cs="宋体"/>
                <w:kern w:val="0"/>
                <w:szCs w:val="21"/>
              </w:rPr>
              <w:t>的热点</w:t>
            </w:r>
          </w:p>
        </w:tc>
        <w:tc>
          <w:tcPr>
            <w:tcW w:w="5302" w:type="dxa"/>
            <w:noWrap w:val="0"/>
            <w:vAlign w:val="center"/>
          </w:tcPr>
          <w:p w14:paraId="782BD1BC">
            <w:pPr>
              <w:widowControl/>
              <w:spacing w:line="280" w:lineRule="exact"/>
              <w:jc w:val="left"/>
              <w:rPr>
                <w:rFonts w:ascii="宋体" w:hAnsi="宋体" w:cs="宋体"/>
                <w:kern w:val="0"/>
                <w:szCs w:val="21"/>
              </w:rPr>
            </w:pPr>
            <w:r>
              <w:rPr>
                <w:rFonts w:hint="eastAsia" w:ascii="宋体" w:hAnsi="宋体" w:cs="宋体"/>
                <w:kern w:val="0"/>
                <w:szCs w:val="21"/>
              </w:rPr>
              <w:t>针对医疗、养老等特殊应用领域的产品针对性设计，满足特殊顾客使用的便捷与安全。</w:t>
            </w:r>
          </w:p>
        </w:tc>
      </w:tr>
      <w:tr w14:paraId="718D2F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continue"/>
            <w:noWrap w:val="0"/>
            <w:vAlign w:val="center"/>
          </w:tcPr>
          <w:p w14:paraId="3AB5ADD9">
            <w:pPr>
              <w:widowControl/>
              <w:spacing w:line="280" w:lineRule="exact"/>
              <w:jc w:val="left"/>
              <w:rPr>
                <w:rFonts w:ascii="宋体" w:hAnsi="宋体" w:cs="宋体"/>
                <w:kern w:val="0"/>
                <w:szCs w:val="21"/>
              </w:rPr>
            </w:pPr>
          </w:p>
        </w:tc>
        <w:tc>
          <w:tcPr>
            <w:tcW w:w="2338" w:type="dxa"/>
            <w:vMerge w:val="continue"/>
            <w:noWrap w:val="0"/>
            <w:vAlign w:val="center"/>
          </w:tcPr>
          <w:p w14:paraId="38302D97">
            <w:pPr>
              <w:widowControl/>
              <w:spacing w:line="280" w:lineRule="exact"/>
              <w:jc w:val="left"/>
              <w:rPr>
                <w:rFonts w:ascii="宋体" w:hAnsi="宋体" w:cs="宋体"/>
                <w:kern w:val="0"/>
                <w:szCs w:val="21"/>
              </w:rPr>
            </w:pPr>
          </w:p>
        </w:tc>
        <w:tc>
          <w:tcPr>
            <w:tcW w:w="5302" w:type="dxa"/>
            <w:noWrap w:val="0"/>
            <w:vAlign w:val="center"/>
          </w:tcPr>
          <w:p w14:paraId="2668E979">
            <w:pPr>
              <w:widowControl/>
              <w:spacing w:line="280" w:lineRule="exact"/>
              <w:jc w:val="left"/>
              <w:rPr>
                <w:rFonts w:ascii="宋体" w:hAnsi="宋体" w:cs="宋体"/>
                <w:kern w:val="0"/>
                <w:szCs w:val="21"/>
              </w:rPr>
            </w:pPr>
            <w:r>
              <w:rPr>
                <w:rFonts w:hint="eastAsia" w:ascii="宋体" w:hAnsi="宋体" w:cs="宋体"/>
                <w:kern w:val="0"/>
                <w:szCs w:val="21"/>
              </w:rPr>
              <w:t>成立相关部门专门负责：采购、质量等部门检验人员对采购的原材料赴供方处实施初检并进行入库检验。</w:t>
            </w:r>
          </w:p>
        </w:tc>
      </w:tr>
      <w:tr w14:paraId="15032E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1260" w:type="dxa"/>
            <w:noWrap w:val="0"/>
            <w:vAlign w:val="center"/>
          </w:tcPr>
          <w:p w14:paraId="5300F833">
            <w:pPr>
              <w:widowControl/>
              <w:spacing w:line="280" w:lineRule="exact"/>
              <w:jc w:val="center"/>
              <w:rPr>
                <w:rFonts w:ascii="宋体" w:hAnsi="宋体" w:cs="宋体"/>
                <w:kern w:val="0"/>
                <w:szCs w:val="21"/>
              </w:rPr>
            </w:pPr>
            <w:r>
              <w:rPr>
                <w:rFonts w:hint="eastAsia" w:ascii="宋体" w:hAnsi="宋体" w:cs="宋体"/>
                <w:kern w:val="0"/>
                <w:szCs w:val="21"/>
              </w:rPr>
              <w:t>安全生产</w:t>
            </w:r>
          </w:p>
        </w:tc>
        <w:tc>
          <w:tcPr>
            <w:tcW w:w="2338" w:type="dxa"/>
            <w:noWrap w:val="0"/>
            <w:vAlign w:val="center"/>
          </w:tcPr>
          <w:p w14:paraId="56FB5101">
            <w:pPr>
              <w:widowControl/>
              <w:spacing w:line="280" w:lineRule="exact"/>
              <w:jc w:val="left"/>
              <w:rPr>
                <w:rFonts w:ascii="宋体" w:hAnsi="宋体" w:cs="宋体"/>
                <w:kern w:val="0"/>
                <w:szCs w:val="21"/>
              </w:rPr>
            </w:pPr>
            <w:r>
              <w:rPr>
                <w:rFonts w:hint="eastAsia" w:ascii="宋体" w:hAnsi="宋体" w:cs="宋体"/>
                <w:kern w:val="0"/>
                <w:szCs w:val="21"/>
              </w:rPr>
              <w:t>安全生产工作，需要常抓不懈</w:t>
            </w:r>
          </w:p>
        </w:tc>
        <w:tc>
          <w:tcPr>
            <w:tcW w:w="5302" w:type="dxa"/>
            <w:noWrap w:val="0"/>
            <w:vAlign w:val="center"/>
          </w:tcPr>
          <w:p w14:paraId="1666B554">
            <w:pPr>
              <w:widowControl/>
              <w:spacing w:line="280" w:lineRule="exact"/>
              <w:jc w:val="left"/>
              <w:rPr>
                <w:rFonts w:ascii="宋体" w:hAnsi="宋体" w:cs="宋体"/>
                <w:kern w:val="0"/>
                <w:szCs w:val="21"/>
              </w:rPr>
            </w:pPr>
            <w:r>
              <w:rPr>
                <w:rFonts w:hint="eastAsia" w:ascii="宋体" w:hAnsi="宋体" w:cs="宋体"/>
                <w:kern w:val="0"/>
                <w:szCs w:val="21"/>
              </w:rPr>
              <w:t>公司对重大危险源进行定量分析，采取有效地控制和治理措施，推进“危险辨识-实施控制-安全评价-持续改进”循环管理，消除公众的安全隐忧</w:t>
            </w:r>
          </w:p>
        </w:tc>
      </w:tr>
      <w:tr w14:paraId="6CC26B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restart"/>
            <w:noWrap w:val="0"/>
            <w:vAlign w:val="center"/>
          </w:tcPr>
          <w:p w14:paraId="17F21DE3">
            <w:pPr>
              <w:widowControl/>
              <w:spacing w:line="280" w:lineRule="exact"/>
              <w:jc w:val="center"/>
              <w:rPr>
                <w:rFonts w:ascii="宋体" w:hAnsi="宋体" w:cs="宋体"/>
                <w:kern w:val="0"/>
                <w:szCs w:val="21"/>
              </w:rPr>
            </w:pPr>
            <w:r>
              <w:rPr>
                <w:rFonts w:hint="eastAsia" w:ascii="宋体" w:hAnsi="宋体" w:cs="宋体"/>
                <w:kern w:val="0"/>
                <w:szCs w:val="21"/>
              </w:rPr>
              <w:t>公共卫生</w:t>
            </w:r>
          </w:p>
        </w:tc>
        <w:tc>
          <w:tcPr>
            <w:tcW w:w="2338" w:type="dxa"/>
            <w:vMerge w:val="restart"/>
            <w:noWrap w:val="0"/>
            <w:vAlign w:val="center"/>
          </w:tcPr>
          <w:p w14:paraId="22DE4D3D">
            <w:pPr>
              <w:widowControl/>
              <w:spacing w:line="280" w:lineRule="exact"/>
              <w:jc w:val="left"/>
              <w:rPr>
                <w:rFonts w:ascii="宋体" w:hAnsi="宋体" w:cs="宋体"/>
                <w:kern w:val="0"/>
                <w:szCs w:val="21"/>
              </w:rPr>
            </w:pPr>
            <w:r>
              <w:rPr>
                <w:rFonts w:hint="eastAsia" w:ascii="宋体" w:hAnsi="宋体" w:cs="宋体"/>
                <w:kern w:val="0"/>
                <w:szCs w:val="21"/>
              </w:rPr>
              <w:t>随着《新劳动法》的实施，以员工为关注焦点将成为社会发展的新趋势</w:t>
            </w:r>
          </w:p>
        </w:tc>
        <w:tc>
          <w:tcPr>
            <w:tcW w:w="5302" w:type="dxa"/>
            <w:noWrap w:val="0"/>
            <w:vAlign w:val="center"/>
          </w:tcPr>
          <w:p w14:paraId="6F43F9C7">
            <w:pPr>
              <w:widowControl/>
              <w:spacing w:line="280" w:lineRule="exact"/>
              <w:jc w:val="left"/>
              <w:rPr>
                <w:rFonts w:ascii="宋体" w:hAnsi="宋体" w:cs="宋体"/>
                <w:kern w:val="0"/>
                <w:szCs w:val="21"/>
              </w:rPr>
            </w:pPr>
            <w:r>
              <w:rPr>
                <w:rFonts w:hint="eastAsia" w:ascii="宋体" w:hAnsi="宋体" w:cs="宋体"/>
                <w:kern w:val="0"/>
                <w:szCs w:val="21"/>
              </w:rPr>
              <w:t>1、实施GB/T45001职业健康管理体系</w:t>
            </w:r>
          </w:p>
        </w:tc>
      </w:tr>
      <w:tr w14:paraId="2388E6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continue"/>
            <w:noWrap w:val="0"/>
            <w:vAlign w:val="center"/>
          </w:tcPr>
          <w:p w14:paraId="662A8697">
            <w:pPr>
              <w:widowControl/>
              <w:spacing w:line="280" w:lineRule="exact"/>
              <w:jc w:val="left"/>
              <w:rPr>
                <w:rFonts w:ascii="宋体" w:hAnsi="宋体" w:cs="宋体"/>
                <w:kern w:val="0"/>
                <w:szCs w:val="21"/>
              </w:rPr>
            </w:pPr>
          </w:p>
        </w:tc>
        <w:tc>
          <w:tcPr>
            <w:tcW w:w="2338" w:type="dxa"/>
            <w:vMerge w:val="continue"/>
            <w:noWrap w:val="0"/>
            <w:vAlign w:val="center"/>
          </w:tcPr>
          <w:p w14:paraId="6DACD65A">
            <w:pPr>
              <w:widowControl/>
              <w:spacing w:line="280" w:lineRule="exact"/>
              <w:jc w:val="left"/>
              <w:rPr>
                <w:rFonts w:ascii="宋体" w:hAnsi="宋体" w:cs="宋体"/>
                <w:kern w:val="0"/>
                <w:szCs w:val="21"/>
              </w:rPr>
            </w:pPr>
          </w:p>
        </w:tc>
        <w:tc>
          <w:tcPr>
            <w:tcW w:w="5302" w:type="dxa"/>
            <w:noWrap w:val="0"/>
            <w:vAlign w:val="center"/>
          </w:tcPr>
          <w:p w14:paraId="1146F506">
            <w:pPr>
              <w:widowControl/>
              <w:spacing w:line="280" w:lineRule="exact"/>
              <w:jc w:val="left"/>
              <w:rPr>
                <w:rFonts w:ascii="宋体" w:hAnsi="宋体" w:cs="宋体"/>
                <w:kern w:val="0"/>
                <w:szCs w:val="21"/>
              </w:rPr>
            </w:pPr>
            <w:r>
              <w:rPr>
                <w:rFonts w:hint="eastAsia" w:ascii="宋体" w:hAnsi="宋体" w:cs="宋体"/>
                <w:kern w:val="0"/>
                <w:szCs w:val="21"/>
              </w:rPr>
              <w:t>2、加强福利，适时调整体检范围和参加人员</w:t>
            </w:r>
          </w:p>
        </w:tc>
      </w:tr>
    </w:tbl>
    <w:p w14:paraId="665EE537">
      <w:pPr>
        <w:pStyle w:val="65"/>
        <w:ind w:firstLine="503"/>
        <w:rPr>
          <w:rFonts w:ascii="宋体" w:hAnsi="宋体"/>
          <w:w w:val="90"/>
          <w:sz w:val="28"/>
          <w:szCs w:val="28"/>
        </w:rPr>
      </w:pPr>
      <w:r>
        <w:rPr>
          <w:rFonts w:ascii="宋体" w:hAnsi="宋体"/>
          <w:w w:val="90"/>
          <w:sz w:val="28"/>
          <w:szCs w:val="28"/>
        </w:rPr>
        <w:t>公司对产品、服务和运营中</w:t>
      </w:r>
      <w:r>
        <w:rPr>
          <w:rFonts w:hint="eastAsia" w:ascii="宋体" w:hAnsi="宋体"/>
          <w:w w:val="90"/>
          <w:sz w:val="28"/>
          <w:szCs w:val="28"/>
        </w:rPr>
        <w:t>对</w:t>
      </w:r>
      <w:r>
        <w:rPr>
          <w:rFonts w:ascii="宋体" w:hAnsi="宋体"/>
          <w:w w:val="90"/>
          <w:sz w:val="28"/>
          <w:szCs w:val="28"/>
        </w:rPr>
        <w:t>在</w:t>
      </w:r>
      <w:r>
        <w:rPr>
          <w:rFonts w:hint="eastAsia" w:ascii="宋体" w:hAnsi="宋体"/>
          <w:w w:val="90"/>
          <w:sz w:val="28"/>
          <w:szCs w:val="28"/>
        </w:rPr>
        <w:t>质量安全、</w:t>
      </w:r>
      <w:r>
        <w:rPr>
          <w:rFonts w:ascii="宋体" w:hAnsi="宋体"/>
          <w:w w:val="90"/>
          <w:sz w:val="28"/>
          <w:szCs w:val="28"/>
        </w:rPr>
        <w:t>环境保护、</w:t>
      </w:r>
      <w:r>
        <w:rPr>
          <w:rFonts w:hint="eastAsia" w:ascii="宋体" w:hAnsi="宋体"/>
          <w:w w:val="90"/>
          <w:sz w:val="28"/>
          <w:szCs w:val="28"/>
        </w:rPr>
        <w:t>能源节约、资源综合利用、</w:t>
      </w:r>
      <w:r>
        <w:rPr>
          <w:rFonts w:ascii="宋体" w:hAnsi="宋体"/>
          <w:w w:val="90"/>
          <w:sz w:val="28"/>
          <w:szCs w:val="28"/>
        </w:rPr>
        <w:t>安全生产、产品安全、公共卫生等方面进行风险识别，确立目标及测量方法，并在关键过程采取有力措施。</w:t>
      </w:r>
    </w:p>
    <w:p w14:paraId="57D235A9">
      <w:pPr>
        <w:pStyle w:val="65"/>
        <w:ind w:firstLine="505"/>
        <w:jc w:val="center"/>
        <w:rPr>
          <w:rFonts w:ascii="宋体" w:hAnsi="宋体"/>
          <w:b/>
          <w:w w:val="90"/>
          <w:sz w:val="28"/>
          <w:szCs w:val="28"/>
        </w:rPr>
      </w:pPr>
      <w:r>
        <w:rPr>
          <w:rFonts w:ascii="宋体" w:hAnsi="宋体"/>
          <w:b/>
          <w:w w:val="90"/>
          <w:sz w:val="28"/>
          <w:szCs w:val="28"/>
        </w:rPr>
        <w:t>公共责任控制措施与指标</w:t>
      </w:r>
    </w:p>
    <w:tbl>
      <w:tblPr>
        <w:tblStyle w:val="35"/>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9"/>
        <w:gridCol w:w="992"/>
        <w:gridCol w:w="1134"/>
        <w:gridCol w:w="1418"/>
        <w:gridCol w:w="2126"/>
        <w:gridCol w:w="2693"/>
      </w:tblGrid>
      <w:tr w14:paraId="50C3D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0" w:hRule="atLeast"/>
          <w:tblHeader/>
        </w:trPr>
        <w:tc>
          <w:tcPr>
            <w:tcW w:w="709" w:type="dxa"/>
            <w:shd w:val="clear" w:color="auto" w:fill="003399"/>
            <w:noWrap w:val="0"/>
            <w:vAlign w:val="center"/>
          </w:tcPr>
          <w:p w14:paraId="51303757">
            <w:pPr>
              <w:jc w:val="center"/>
              <w:rPr>
                <w:rFonts w:ascii="Calibri" w:hAnsi="Calibri"/>
                <w:b/>
                <w:color w:val="FFFFFF"/>
                <w:szCs w:val="21"/>
              </w:rPr>
            </w:pPr>
            <w:r>
              <w:rPr>
                <w:rFonts w:ascii="Calibri" w:hAnsi="Calibri"/>
                <w:b/>
                <w:color w:val="FFFFFF"/>
                <w:szCs w:val="21"/>
              </w:rPr>
              <w:t>控制项目</w:t>
            </w:r>
          </w:p>
        </w:tc>
        <w:tc>
          <w:tcPr>
            <w:tcW w:w="992" w:type="dxa"/>
            <w:shd w:val="clear" w:color="auto" w:fill="003399"/>
            <w:noWrap w:val="0"/>
            <w:vAlign w:val="center"/>
          </w:tcPr>
          <w:p w14:paraId="2DD6B9CC">
            <w:pPr>
              <w:jc w:val="center"/>
              <w:rPr>
                <w:rFonts w:ascii="Calibri" w:hAnsi="Calibri"/>
                <w:b/>
                <w:color w:val="FFFFFF"/>
                <w:szCs w:val="21"/>
              </w:rPr>
            </w:pPr>
            <w:r>
              <w:rPr>
                <w:rFonts w:ascii="Calibri" w:hAnsi="Calibri"/>
                <w:b/>
                <w:color w:val="FFFFFF"/>
                <w:szCs w:val="21"/>
              </w:rPr>
              <w:t>控制</w:t>
            </w:r>
          </w:p>
          <w:p w14:paraId="3E6C66DD">
            <w:pPr>
              <w:jc w:val="center"/>
              <w:rPr>
                <w:rFonts w:ascii="Calibri" w:hAnsi="Calibri"/>
                <w:b/>
                <w:color w:val="FFFFFF"/>
                <w:szCs w:val="21"/>
              </w:rPr>
            </w:pPr>
            <w:r>
              <w:rPr>
                <w:rFonts w:ascii="Calibri" w:hAnsi="Calibri"/>
                <w:b/>
                <w:color w:val="FFFFFF"/>
                <w:szCs w:val="21"/>
              </w:rPr>
              <w:t>因素</w:t>
            </w:r>
          </w:p>
        </w:tc>
        <w:tc>
          <w:tcPr>
            <w:tcW w:w="1134" w:type="dxa"/>
            <w:shd w:val="clear" w:color="auto" w:fill="003399"/>
            <w:noWrap w:val="0"/>
            <w:vAlign w:val="center"/>
          </w:tcPr>
          <w:p w14:paraId="3A1257FA">
            <w:pPr>
              <w:jc w:val="center"/>
              <w:rPr>
                <w:rFonts w:ascii="Calibri" w:hAnsi="Calibri"/>
                <w:b/>
                <w:color w:val="FFFFFF"/>
                <w:szCs w:val="21"/>
              </w:rPr>
            </w:pPr>
            <w:r>
              <w:rPr>
                <w:rFonts w:ascii="Calibri" w:hAnsi="Calibri"/>
                <w:b/>
                <w:color w:val="FFFFFF"/>
                <w:szCs w:val="21"/>
              </w:rPr>
              <w:t>相关风险</w:t>
            </w:r>
          </w:p>
        </w:tc>
        <w:tc>
          <w:tcPr>
            <w:tcW w:w="1418" w:type="dxa"/>
            <w:shd w:val="clear" w:color="auto" w:fill="003399"/>
            <w:noWrap w:val="0"/>
            <w:vAlign w:val="center"/>
          </w:tcPr>
          <w:p w14:paraId="362548D7">
            <w:pPr>
              <w:jc w:val="center"/>
              <w:rPr>
                <w:rFonts w:ascii="Calibri" w:hAnsi="Calibri"/>
                <w:b/>
                <w:color w:val="FFFFFF"/>
                <w:szCs w:val="21"/>
              </w:rPr>
            </w:pPr>
            <w:r>
              <w:rPr>
                <w:rFonts w:ascii="Calibri" w:hAnsi="Calibri"/>
                <w:b/>
                <w:color w:val="FFFFFF"/>
                <w:szCs w:val="21"/>
              </w:rPr>
              <w:t>标准要求</w:t>
            </w:r>
          </w:p>
        </w:tc>
        <w:tc>
          <w:tcPr>
            <w:tcW w:w="2126" w:type="dxa"/>
            <w:shd w:val="clear" w:color="auto" w:fill="003399"/>
            <w:noWrap w:val="0"/>
            <w:vAlign w:val="center"/>
          </w:tcPr>
          <w:p w14:paraId="40207BFF">
            <w:pPr>
              <w:jc w:val="center"/>
              <w:rPr>
                <w:rFonts w:ascii="Calibri" w:hAnsi="Calibri"/>
                <w:b/>
                <w:color w:val="FFFFFF"/>
                <w:szCs w:val="21"/>
              </w:rPr>
            </w:pPr>
            <w:r>
              <w:rPr>
                <w:rFonts w:ascii="Calibri" w:hAnsi="Calibri"/>
                <w:b/>
                <w:color w:val="FFFFFF"/>
                <w:szCs w:val="21"/>
              </w:rPr>
              <w:t>内控指标</w:t>
            </w:r>
          </w:p>
        </w:tc>
        <w:tc>
          <w:tcPr>
            <w:tcW w:w="2693" w:type="dxa"/>
            <w:shd w:val="clear" w:color="auto" w:fill="003399"/>
            <w:noWrap w:val="0"/>
            <w:vAlign w:val="center"/>
          </w:tcPr>
          <w:p w14:paraId="2DD92CCE">
            <w:pPr>
              <w:jc w:val="center"/>
              <w:rPr>
                <w:rFonts w:ascii="Calibri" w:hAnsi="Calibri"/>
                <w:b/>
                <w:color w:val="FFFFFF"/>
                <w:szCs w:val="21"/>
              </w:rPr>
            </w:pPr>
            <w:r>
              <w:rPr>
                <w:rFonts w:ascii="Calibri" w:hAnsi="Calibri"/>
                <w:b/>
                <w:color w:val="FFFFFF"/>
                <w:szCs w:val="21"/>
              </w:rPr>
              <w:t>控制过程及方法</w:t>
            </w:r>
          </w:p>
        </w:tc>
      </w:tr>
      <w:tr w14:paraId="31594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6" w:hRule="atLeast"/>
          <w:tblHeader/>
        </w:trPr>
        <w:tc>
          <w:tcPr>
            <w:tcW w:w="709" w:type="dxa"/>
            <w:shd w:val="clear" w:color="auto" w:fill="auto"/>
            <w:noWrap w:val="0"/>
            <w:vAlign w:val="center"/>
          </w:tcPr>
          <w:p w14:paraId="091C6DA8">
            <w:pPr>
              <w:jc w:val="center"/>
              <w:rPr>
                <w:rFonts w:ascii="Calibri" w:hAnsi="Calibri"/>
                <w:b/>
                <w:color w:val="000000"/>
                <w:szCs w:val="21"/>
              </w:rPr>
            </w:pPr>
            <w:r>
              <w:rPr>
                <w:rFonts w:ascii="Calibri" w:hAnsi="Calibri"/>
                <w:b/>
                <w:color w:val="000000"/>
                <w:szCs w:val="21"/>
              </w:rPr>
              <w:t>产品安全</w:t>
            </w:r>
          </w:p>
        </w:tc>
        <w:tc>
          <w:tcPr>
            <w:tcW w:w="992" w:type="dxa"/>
            <w:shd w:val="clear" w:color="auto" w:fill="FFFFFF"/>
            <w:noWrap w:val="0"/>
            <w:vAlign w:val="center"/>
          </w:tcPr>
          <w:p w14:paraId="70012CC2">
            <w:pPr>
              <w:rPr>
                <w:rFonts w:ascii="Calibri" w:hAnsi="Calibri"/>
                <w:color w:val="000000"/>
                <w:szCs w:val="21"/>
              </w:rPr>
            </w:pPr>
            <w:r>
              <w:rPr>
                <w:rFonts w:ascii="Calibri" w:hAnsi="Calibri"/>
                <w:color w:val="000000"/>
                <w:szCs w:val="21"/>
              </w:rPr>
              <w:t>电气安全等</w:t>
            </w:r>
          </w:p>
        </w:tc>
        <w:tc>
          <w:tcPr>
            <w:tcW w:w="1134" w:type="dxa"/>
            <w:shd w:val="clear" w:color="auto" w:fill="FFFFFF"/>
            <w:noWrap w:val="0"/>
            <w:vAlign w:val="center"/>
          </w:tcPr>
          <w:p w14:paraId="4D0603D2">
            <w:pPr>
              <w:rPr>
                <w:rFonts w:ascii="Calibri" w:hAnsi="Calibri"/>
                <w:color w:val="000000"/>
                <w:szCs w:val="21"/>
              </w:rPr>
            </w:pPr>
            <w:r>
              <w:rPr>
                <w:rFonts w:ascii="Calibri" w:hAnsi="Calibri"/>
                <w:color w:val="000000"/>
                <w:szCs w:val="21"/>
              </w:rPr>
              <w:t>人员财产损失</w:t>
            </w:r>
          </w:p>
        </w:tc>
        <w:tc>
          <w:tcPr>
            <w:tcW w:w="1418" w:type="dxa"/>
            <w:shd w:val="clear" w:color="auto" w:fill="FFFFFF"/>
            <w:noWrap w:val="0"/>
            <w:vAlign w:val="center"/>
          </w:tcPr>
          <w:p w14:paraId="526BFF06">
            <w:pPr>
              <w:rPr>
                <w:rFonts w:ascii="Calibri" w:hAnsi="Calibri"/>
                <w:color w:val="000000"/>
                <w:szCs w:val="21"/>
              </w:rPr>
            </w:pPr>
            <w:r>
              <w:rPr>
                <w:rFonts w:ascii="Calibri" w:hAnsi="Calibri"/>
                <w:color w:val="000000"/>
                <w:szCs w:val="21"/>
              </w:rPr>
              <w:t>IEC 60204-1</w:t>
            </w:r>
          </w:p>
        </w:tc>
        <w:tc>
          <w:tcPr>
            <w:tcW w:w="2126" w:type="dxa"/>
            <w:shd w:val="clear" w:color="auto" w:fill="FFFFFF"/>
            <w:noWrap w:val="0"/>
            <w:vAlign w:val="center"/>
          </w:tcPr>
          <w:p w14:paraId="65E83633">
            <w:pPr>
              <w:rPr>
                <w:rFonts w:ascii="Calibri" w:hAnsi="Calibri"/>
                <w:color w:val="000000"/>
                <w:szCs w:val="21"/>
              </w:rPr>
            </w:pPr>
            <w:r>
              <w:rPr>
                <w:rFonts w:ascii="Calibri" w:hAnsi="Calibri"/>
                <w:color w:val="000000"/>
                <w:szCs w:val="21"/>
              </w:rPr>
              <w:t>执行标准</w:t>
            </w:r>
          </w:p>
        </w:tc>
        <w:tc>
          <w:tcPr>
            <w:tcW w:w="2693" w:type="dxa"/>
            <w:shd w:val="clear" w:color="auto" w:fill="FFFFFF"/>
            <w:noWrap w:val="0"/>
            <w:vAlign w:val="center"/>
          </w:tcPr>
          <w:p w14:paraId="56F1A624">
            <w:pPr>
              <w:rPr>
                <w:rFonts w:ascii="Calibri" w:hAnsi="Calibri"/>
                <w:color w:val="000000"/>
                <w:szCs w:val="21"/>
              </w:rPr>
            </w:pPr>
            <w:r>
              <w:rPr>
                <w:rFonts w:ascii="Calibri" w:hAnsi="Calibri"/>
                <w:color w:val="000000"/>
                <w:szCs w:val="21"/>
              </w:rPr>
              <w:t>严格执行标准</w:t>
            </w:r>
          </w:p>
        </w:tc>
      </w:tr>
      <w:tr w14:paraId="1E493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39" w:hRule="atLeast"/>
          <w:tblHeader/>
        </w:trPr>
        <w:tc>
          <w:tcPr>
            <w:tcW w:w="709" w:type="dxa"/>
            <w:shd w:val="clear" w:color="auto" w:fill="auto"/>
            <w:noWrap w:val="0"/>
            <w:vAlign w:val="center"/>
          </w:tcPr>
          <w:p w14:paraId="2103D7C7">
            <w:pPr>
              <w:jc w:val="center"/>
              <w:rPr>
                <w:rFonts w:ascii="Calibri" w:hAnsi="Calibri"/>
                <w:b/>
                <w:color w:val="000000"/>
                <w:szCs w:val="21"/>
              </w:rPr>
            </w:pPr>
            <w:r>
              <w:rPr>
                <w:rFonts w:ascii="Calibri" w:hAnsi="Calibri"/>
                <w:b/>
                <w:color w:val="000000"/>
                <w:szCs w:val="21"/>
              </w:rPr>
              <w:t>环境保护</w:t>
            </w:r>
          </w:p>
        </w:tc>
        <w:tc>
          <w:tcPr>
            <w:tcW w:w="992" w:type="dxa"/>
            <w:shd w:val="clear" w:color="auto" w:fill="FFFFFF"/>
            <w:noWrap w:val="0"/>
            <w:vAlign w:val="center"/>
          </w:tcPr>
          <w:p w14:paraId="13B8F3D4">
            <w:pPr>
              <w:rPr>
                <w:rFonts w:ascii="Calibri" w:hAnsi="Calibri"/>
                <w:color w:val="000000"/>
                <w:szCs w:val="21"/>
              </w:rPr>
            </w:pPr>
            <w:r>
              <w:rPr>
                <w:rFonts w:ascii="Calibri" w:hAnsi="Calibri"/>
                <w:color w:val="000000"/>
                <w:szCs w:val="21"/>
              </w:rPr>
              <w:t>污水</w:t>
            </w:r>
          </w:p>
        </w:tc>
        <w:tc>
          <w:tcPr>
            <w:tcW w:w="1134" w:type="dxa"/>
            <w:shd w:val="clear" w:color="auto" w:fill="FFFFFF"/>
            <w:noWrap w:val="0"/>
            <w:vAlign w:val="center"/>
          </w:tcPr>
          <w:p w14:paraId="57814112">
            <w:pPr>
              <w:rPr>
                <w:rFonts w:ascii="Calibri" w:hAnsi="Calibri"/>
                <w:color w:val="000000"/>
                <w:szCs w:val="21"/>
              </w:rPr>
            </w:pPr>
            <w:r>
              <w:rPr>
                <w:rFonts w:ascii="Calibri" w:hAnsi="Calibri"/>
                <w:color w:val="000000"/>
                <w:szCs w:val="21"/>
              </w:rPr>
              <w:t>水体污染</w:t>
            </w:r>
          </w:p>
        </w:tc>
        <w:tc>
          <w:tcPr>
            <w:tcW w:w="1418" w:type="dxa"/>
            <w:shd w:val="clear" w:color="auto" w:fill="FFFFFF"/>
            <w:noWrap w:val="0"/>
            <w:vAlign w:val="center"/>
          </w:tcPr>
          <w:p w14:paraId="5446D9DC">
            <w:pPr>
              <w:rPr>
                <w:rFonts w:ascii="Calibri" w:hAnsi="Calibri"/>
                <w:color w:val="000000"/>
                <w:szCs w:val="21"/>
              </w:rPr>
            </w:pPr>
            <w:r>
              <w:rPr>
                <w:rFonts w:ascii="Calibri" w:hAnsi="Calibri"/>
                <w:color w:val="000000"/>
                <w:szCs w:val="21"/>
              </w:rPr>
              <w:t>COD&lt;100mg/L、PH值6-9、SS≤70mg/L</w:t>
            </w:r>
          </w:p>
        </w:tc>
        <w:tc>
          <w:tcPr>
            <w:tcW w:w="2126" w:type="dxa"/>
            <w:shd w:val="clear" w:color="auto" w:fill="FFFFFF"/>
            <w:noWrap w:val="0"/>
            <w:vAlign w:val="center"/>
          </w:tcPr>
          <w:p w14:paraId="2C5335F7">
            <w:pPr>
              <w:rPr>
                <w:rFonts w:ascii="Calibri" w:hAnsi="Calibri"/>
                <w:color w:val="000000"/>
                <w:szCs w:val="21"/>
              </w:rPr>
            </w:pPr>
            <w:r>
              <w:rPr>
                <w:rFonts w:ascii="Calibri" w:hAnsi="Calibri"/>
                <w:color w:val="000000"/>
                <w:szCs w:val="21"/>
              </w:rPr>
              <w:t>COD&lt;100mg/L、</w:t>
            </w:r>
          </w:p>
          <w:p w14:paraId="1920C3CD">
            <w:pPr>
              <w:rPr>
                <w:rFonts w:ascii="Calibri" w:hAnsi="Calibri"/>
                <w:color w:val="000000"/>
                <w:szCs w:val="21"/>
              </w:rPr>
            </w:pPr>
            <w:r>
              <w:rPr>
                <w:rFonts w:ascii="Calibri" w:hAnsi="Calibri"/>
                <w:color w:val="000000"/>
                <w:szCs w:val="21"/>
              </w:rPr>
              <w:t>PH值6-9、SS≤70mg/L、NH3-N≤15 mg/L</w:t>
            </w:r>
          </w:p>
        </w:tc>
        <w:tc>
          <w:tcPr>
            <w:tcW w:w="2693" w:type="dxa"/>
            <w:shd w:val="clear" w:color="auto" w:fill="FFFFFF"/>
            <w:noWrap w:val="0"/>
            <w:vAlign w:val="center"/>
          </w:tcPr>
          <w:p w14:paraId="675494AF">
            <w:pPr>
              <w:rPr>
                <w:rFonts w:ascii="Calibri" w:hAnsi="Calibri"/>
                <w:color w:val="000000"/>
                <w:szCs w:val="21"/>
              </w:rPr>
            </w:pPr>
            <w:r>
              <w:rPr>
                <w:rFonts w:ascii="Calibri" w:hAnsi="Calibri"/>
                <w:color w:val="000000"/>
                <w:szCs w:val="21"/>
              </w:rPr>
              <w:t>纳管接入工业区污水处理厂</w:t>
            </w:r>
          </w:p>
        </w:tc>
      </w:tr>
      <w:tr w14:paraId="26416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8" w:hRule="atLeast"/>
          <w:tblHeader/>
        </w:trPr>
        <w:tc>
          <w:tcPr>
            <w:tcW w:w="709" w:type="dxa"/>
            <w:shd w:val="clear" w:color="auto" w:fill="auto"/>
            <w:noWrap w:val="0"/>
            <w:vAlign w:val="center"/>
          </w:tcPr>
          <w:p w14:paraId="5029564F">
            <w:pPr>
              <w:jc w:val="center"/>
              <w:rPr>
                <w:rFonts w:ascii="Calibri" w:hAnsi="Calibri"/>
                <w:b/>
                <w:color w:val="000000"/>
                <w:szCs w:val="21"/>
              </w:rPr>
            </w:pPr>
            <w:r>
              <w:rPr>
                <w:rFonts w:ascii="Calibri" w:hAnsi="Calibri"/>
                <w:b/>
                <w:color w:val="000000"/>
                <w:szCs w:val="21"/>
              </w:rPr>
              <w:t>环境保护</w:t>
            </w:r>
          </w:p>
        </w:tc>
        <w:tc>
          <w:tcPr>
            <w:tcW w:w="992" w:type="dxa"/>
            <w:shd w:val="clear" w:color="auto" w:fill="FFFFFF"/>
            <w:noWrap w:val="0"/>
            <w:vAlign w:val="center"/>
          </w:tcPr>
          <w:p w14:paraId="226A6A2A">
            <w:pPr>
              <w:rPr>
                <w:rFonts w:ascii="Calibri" w:hAnsi="Calibri"/>
                <w:color w:val="000000"/>
                <w:szCs w:val="21"/>
              </w:rPr>
            </w:pPr>
            <w:r>
              <w:rPr>
                <w:rFonts w:ascii="Calibri" w:hAnsi="Calibri"/>
                <w:color w:val="000000"/>
                <w:szCs w:val="21"/>
              </w:rPr>
              <w:t>噪声</w:t>
            </w:r>
          </w:p>
        </w:tc>
        <w:tc>
          <w:tcPr>
            <w:tcW w:w="1134" w:type="dxa"/>
            <w:shd w:val="clear" w:color="auto" w:fill="FFFFFF"/>
            <w:noWrap w:val="0"/>
            <w:vAlign w:val="center"/>
          </w:tcPr>
          <w:p w14:paraId="7AD0F6B5">
            <w:pPr>
              <w:rPr>
                <w:rFonts w:ascii="Calibri" w:hAnsi="Calibri"/>
                <w:color w:val="000000"/>
                <w:szCs w:val="21"/>
              </w:rPr>
            </w:pPr>
            <w:r>
              <w:rPr>
                <w:rFonts w:ascii="Calibri" w:hAnsi="Calibri"/>
                <w:color w:val="000000"/>
                <w:szCs w:val="21"/>
              </w:rPr>
              <w:t>干扰居民生活</w:t>
            </w:r>
          </w:p>
        </w:tc>
        <w:tc>
          <w:tcPr>
            <w:tcW w:w="1418" w:type="dxa"/>
            <w:shd w:val="clear" w:color="auto" w:fill="FFFFFF"/>
            <w:noWrap w:val="0"/>
            <w:vAlign w:val="center"/>
          </w:tcPr>
          <w:p w14:paraId="4F64B960">
            <w:pPr>
              <w:rPr>
                <w:rFonts w:ascii="Calibri" w:hAnsi="Calibri"/>
                <w:color w:val="000000"/>
                <w:szCs w:val="21"/>
              </w:rPr>
            </w:pPr>
            <w:r>
              <w:rPr>
                <w:rFonts w:ascii="Calibri" w:hAnsi="Calibri"/>
                <w:color w:val="000000"/>
                <w:szCs w:val="21"/>
              </w:rPr>
              <w:t>昼间80dBA、夜间60dBA</w:t>
            </w:r>
          </w:p>
        </w:tc>
        <w:tc>
          <w:tcPr>
            <w:tcW w:w="2126" w:type="dxa"/>
            <w:shd w:val="clear" w:color="auto" w:fill="FFFFFF"/>
            <w:noWrap w:val="0"/>
            <w:vAlign w:val="center"/>
          </w:tcPr>
          <w:p w14:paraId="65510DBD">
            <w:pPr>
              <w:rPr>
                <w:rFonts w:ascii="Calibri" w:hAnsi="Calibri"/>
                <w:color w:val="000000"/>
                <w:szCs w:val="21"/>
              </w:rPr>
            </w:pPr>
            <w:r>
              <w:rPr>
                <w:rFonts w:ascii="Calibri" w:hAnsi="Calibri"/>
                <w:color w:val="000000"/>
                <w:szCs w:val="21"/>
              </w:rPr>
              <w:t>昼间80dBA、夜间60dBA</w:t>
            </w:r>
          </w:p>
        </w:tc>
        <w:tc>
          <w:tcPr>
            <w:tcW w:w="2693" w:type="dxa"/>
            <w:shd w:val="clear" w:color="auto" w:fill="FFFFFF"/>
            <w:noWrap w:val="0"/>
            <w:vAlign w:val="center"/>
          </w:tcPr>
          <w:p w14:paraId="0EE764B9">
            <w:pPr>
              <w:rPr>
                <w:rFonts w:ascii="Calibri" w:hAnsi="Calibri"/>
                <w:color w:val="000000"/>
                <w:szCs w:val="21"/>
              </w:rPr>
            </w:pPr>
            <w:r>
              <w:rPr>
                <w:rFonts w:ascii="Calibri" w:hAnsi="Calibri"/>
                <w:color w:val="000000"/>
                <w:szCs w:val="21"/>
              </w:rPr>
              <w:t>制定文件控制，按环境管理体系标准管理</w:t>
            </w:r>
          </w:p>
        </w:tc>
      </w:tr>
      <w:tr w14:paraId="6C6B1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39" w:hRule="atLeast"/>
          <w:tblHeader/>
        </w:trPr>
        <w:tc>
          <w:tcPr>
            <w:tcW w:w="709" w:type="dxa"/>
            <w:shd w:val="clear" w:color="auto" w:fill="auto"/>
            <w:noWrap w:val="0"/>
            <w:vAlign w:val="center"/>
          </w:tcPr>
          <w:p w14:paraId="15AA74A7">
            <w:pPr>
              <w:jc w:val="center"/>
              <w:rPr>
                <w:rFonts w:ascii="Calibri" w:hAnsi="Calibri"/>
                <w:b/>
                <w:color w:val="000000"/>
                <w:szCs w:val="21"/>
              </w:rPr>
            </w:pPr>
            <w:r>
              <w:rPr>
                <w:rFonts w:ascii="Calibri" w:hAnsi="Calibri"/>
                <w:b/>
                <w:color w:val="000000"/>
                <w:szCs w:val="21"/>
              </w:rPr>
              <w:t>资源利用</w:t>
            </w:r>
          </w:p>
        </w:tc>
        <w:tc>
          <w:tcPr>
            <w:tcW w:w="992" w:type="dxa"/>
            <w:shd w:val="clear" w:color="auto" w:fill="FFFFFF"/>
            <w:noWrap w:val="0"/>
            <w:vAlign w:val="center"/>
          </w:tcPr>
          <w:p w14:paraId="0493CEE9">
            <w:pPr>
              <w:rPr>
                <w:rFonts w:ascii="Calibri" w:hAnsi="Calibri"/>
                <w:color w:val="000000"/>
                <w:szCs w:val="21"/>
              </w:rPr>
            </w:pPr>
            <w:r>
              <w:rPr>
                <w:rFonts w:ascii="Calibri" w:hAnsi="Calibri"/>
                <w:color w:val="000000"/>
                <w:szCs w:val="21"/>
              </w:rPr>
              <w:t>水电煤等</w:t>
            </w:r>
          </w:p>
        </w:tc>
        <w:tc>
          <w:tcPr>
            <w:tcW w:w="1134" w:type="dxa"/>
            <w:shd w:val="clear" w:color="auto" w:fill="FFFFFF"/>
            <w:noWrap w:val="0"/>
            <w:vAlign w:val="center"/>
          </w:tcPr>
          <w:p w14:paraId="23D88CEB">
            <w:pPr>
              <w:rPr>
                <w:rFonts w:ascii="Calibri" w:hAnsi="Calibri"/>
                <w:color w:val="000000"/>
                <w:szCs w:val="21"/>
              </w:rPr>
            </w:pPr>
            <w:r>
              <w:rPr>
                <w:rFonts w:ascii="Calibri" w:hAnsi="Calibri"/>
                <w:color w:val="000000"/>
                <w:szCs w:val="21"/>
              </w:rPr>
              <w:t>增加生产成本</w:t>
            </w:r>
          </w:p>
        </w:tc>
        <w:tc>
          <w:tcPr>
            <w:tcW w:w="1418" w:type="dxa"/>
            <w:shd w:val="clear" w:color="auto" w:fill="FFFFFF"/>
            <w:noWrap w:val="0"/>
            <w:vAlign w:val="center"/>
          </w:tcPr>
          <w:p w14:paraId="748A609E">
            <w:pPr>
              <w:jc w:val="center"/>
              <w:rPr>
                <w:rFonts w:ascii="Calibri" w:hAnsi="Calibri"/>
                <w:color w:val="000000"/>
                <w:szCs w:val="21"/>
              </w:rPr>
            </w:pPr>
            <w:r>
              <w:rPr>
                <w:rFonts w:ascii="Calibri" w:hAnsi="Calibri"/>
                <w:color w:val="000000"/>
                <w:szCs w:val="21"/>
              </w:rPr>
              <w:t>/</w:t>
            </w:r>
          </w:p>
        </w:tc>
        <w:tc>
          <w:tcPr>
            <w:tcW w:w="2126" w:type="dxa"/>
            <w:shd w:val="clear" w:color="auto" w:fill="FFFFFF"/>
            <w:noWrap w:val="0"/>
            <w:vAlign w:val="center"/>
          </w:tcPr>
          <w:p w14:paraId="678BB9C0">
            <w:pPr>
              <w:rPr>
                <w:rFonts w:ascii="Calibri" w:hAnsi="Calibri"/>
                <w:color w:val="000000"/>
                <w:szCs w:val="21"/>
              </w:rPr>
            </w:pPr>
            <w:r>
              <w:rPr>
                <w:rFonts w:ascii="Calibri" w:hAnsi="Calibri"/>
                <w:color w:val="000000"/>
                <w:szCs w:val="21"/>
              </w:rPr>
              <w:t>水0.81吨/万元产值</w:t>
            </w:r>
          </w:p>
          <w:p w14:paraId="2B34E7A5">
            <w:pPr>
              <w:rPr>
                <w:rFonts w:ascii="Calibri" w:hAnsi="Calibri"/>
                <w:color w:val="000000"/>
                <w:szCs w:val="21"/>
              </w:rPr>
            </w:pPr>
            <w:r>
              <w:rPr>
                <w:rFonts w:ascii="Calibri" w:hAnsi="Calibri"/>
                <w:color w:val="000000"/>
                <w:szCs w:val="21"/>
              </w:rPr>
              <w:t>电687度/万元产值</w:t>
            </w:r>
          </w:p>
          <w:p w14:paraId="3EED0CD2">
            <w:pPr>
              <w:rPr>
                <w:rFonts w:ascii="Calibri" w:hAnsi="Calibri"/>
                <w:color w:val="000000"/>
                <w:szCs w:val="21"/>
              </w:rPr>
            </w:pPr>
            <w:r>
              <w:rPr>
                <w:rFonts w:ascii="Calibri" w:hAnsi="Calibri"/>
                <w:color w:val="000000"/>
                <w:szCs w:val="21"/>
              </w:rPr>
              <w:t>煤0.08吨/万元产值</w:t>
            </w:r>
          </w:p>
        </w:tc>
        <w:tc>
          <w:tcPr>
            <w:tcW w:w="2693" w:type="dxa"/>
            <w:shd w:val="clear" w:color="auto" w:fill="FFFFFF"/>
            <w:noWrap w:val="0"/>
            <w:vAlign w:val="center"/>
          </w:tcPr>
          <w:p w14:paraId="5B40CB8E">
            <w:pPr>
              <w:rPr>
                <w:rFonts w:ascii="Calibri" w:hAnsi="Calibri"/>
                <w:color w:val="000000"/>
                <w:szCs w:val="21"/>
              </w:rPr>
            </w:pPr>
            <w:r>
              <w:rPr>
                <w:rFonts w:ascii="Calibri" w:hAnsi="Calibri"/>
                <w:color w:val="000000"/>
                <w:szCs w:val="21"/>
              </w:rPr>
              <w:t>执行公司制定的《能源管理办法》</w:t>
            </w:r>
          </w:p>
        </w:tc>
      </w:tr>
      <w:tr w14:paraId="565EC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 w:hRule="atLeast"/>
          <w:tblHeader/>
        </w:trPr>
        <w:tc>
          <w:tcPr>
            <w:tcW w:w="709" w:type="dxa"/>
            <w:shd w:val="clear" w:color="auto" w:fill="auto"/>
            <w:noWrap w:val="0"/>
            <w:vAlign w:val="center"/>
          </w:tcPr>
          <w:p w14:paraId="21F2622B">
            <w:pPr>
              <w:jc w:val="center"/>
              <w:rPr>
                <w:rFonts w:ascii="Calibri" w:hAnsi="Calibri"/>
                <w:b/>
                <w:color w:val="000000"/>
                <w:szCs w:val="21"/>
              </w:rPr>
            </w:pPr>
            <w:r>
              <w:rPr>
                <w:rFonts w:ascii="Calibri" w:hAnsi="Calibri"/>
                <w:b/>
                <w:color w:val="000000"/>
                <w:szCs w:val="21"/>
              </w:rPr>
              <w:t>安全生产</w:t>
            </w:r>
          </w:p>
        </w:tc>
        <w:tc>
          <w:tcPr>
            <w:tcW w:w="992" w:type="dxa"/>
            <w:shd w:val="clear" w:color="auto" w:fill="FFFFFF"/>
            <w:noWrap w:val="0"/>
            <w:vAlign w:val="center"/>
          </w:tcPr>
          <w:p w14:paraId="3458590D">
            <w:pPr>
              <w:rPr>
                <w:rFonts w:ascii="Calibri" w:hAnsi="Calibri"/>
                <w:color w:val="000000"/>
                <w:szCs w:val="21"/>
              </w:rPr>
            </w:pPr>
            <w:r>
              <w:rPr>
                <w:rFonts w:ascii="Calibri" w:hAnsi="Calibri"/>
                <w:color w:val="000000"/>
                <w:szCs w:val="21"/>
              </w:rPr>
              <w:t>机械伤害、火灾</w:t>
            </w:r>
          </w:p>
        </w:tc>
        <w:tc>
          <w:tcPr>
            <w:tcW w:w="1134" w:type="dxa"/>
            <w:shd w:val="clear" w:color="auto" w:fill="FFFFFF"/>
            <w:noWrap w:val="0"/>
            <w:vAlign w:val="center"/>
          </w:tcPr>
          <w:p w14:paraId="77BFE276">
            <w:pPr>
              <w:rPr>
                <w:rFonts w:ascii="Calibri" w:hAnsi="Calibri"/>
                <w:color w:val="000000"/>
                <w:szCs w:val="21"/>
              </w:rPr>
            </w:pPr>
            <w:r>
              <w:rPr>
                <w:rFonts w:ascii="Calibri" w:hAnsi="Calibri"/>
                <w:color w:val="000000"/>
                <w:szCs w:val="21"/>
              </w:rPr>
              <w:t>人员伤亡</w:t>
            </w:r>
          </w:p>
          <w:p w14:paraId="594AAF73">
            <w:pPr>
              <w:rPr>
                <w:rFonts w:ascii="Calibri" w:hAnsi="Calibri"/>
                <w:color w:val="000000"/>
                <w:szCs w:val="21"/>
              </w:rPr>
            </w:pPr>
            <w:r>
              <w:rPr>
                <w:rFonts w:ascii="Calibri" w:hAnsi="Calibri"/>
                <w:color w:val="000000"/>
                <w:szCs w:val="21"/>
              </w:rPr>
              <w:t>财产损失</w:t>
            </w:r>
          </w:p>
        </w:tc>
        <w:tc>
          <w:tcPr>
            <w:tcW w:w="1418" w:type="dxa"/>
            <w:shd w:val="clear" w:color="auto" w:fill="FFFFFF"/>
            <w:noWrap w:val="0"/>
            <w:vAlign w:val="center"/>
          </w:tcPr>
          <w:p w14:paraId="111C18AE">
            <w:pPr>
              <w:rPr>
                <w:rFonts w:ascii="Calibri" w:hAnsi="Calibri"/>
                <w:color w:val="000000"/>
                <w:szCs w:val="21"/>
              </w:rPr>
            </w:pPr>
            <w:r>
              <w:rPr>
                <w:rFonts w:ascii="Calibri" w:hAnsi="Calibri"/>
                <w:color w:val="000000"/>
                <w:szCs w:val="21"/>
              </w:rPr>
              <w:t>重伤≤1%</w:t>
            </w:r>
          </w:p>
          <w:p w14:paraId="70F369D2">
            <w:pPr>
              <w:rPr>
                <w:rFonts w:ascii="Calibri" w:hAnsi="Calibri"/>
                <w:color w:val="000000"/>
                <w:szCs w:val="21"/>
              </w:rPr>
            </w:pPr>
            <w:r>
              <w:rPr>
                <w:rFonts w:ascii="Calibri" w:hAnsi="Calibri"/>
                <w:color w:val="000000"/>
                <w:szCs w:val="21"/>
              </w:rPr>
              <w:t>轻伤≤6%</w:t>
            </w:r>
          </w:p>
        </w:tc>
        <w:tc>
          <w:tcPr>
            <w:tcW w:w="2126" w:type="dxa"/>
            <w:shd w:val="clear" w:color="auto" w:fill="FFFFFF"/>
            <w:noWrap w:val="0"/>
            <w:vAlign w:val="center"/>
          </w:tcPr>
          <w:p w14:paraId="2E4E1D4C">
            <w:pPr>
              <w:rPr>
                <w:rFonts w:ascii="Calibri" w:hAnsi="Calibri"/>
                <w:color w:val="000000"/>
                <w:szCs w:val="21"/>
              </w:rPr>
            </w:pPr>
            <w:r>
              <w:rPr>
                <w:rFonts w:ascii="Calibri" w:hAnsi="Calibri"/>
                <w:color w:val="000000"/>
                <w:szCs w:val="21"/>
              </w:rPr>
              <w:t>工亡、重伤为零，轻伤≤2%</w:t>
            </w:r>
          </w:p>
        </w:tc>
        <w:tc>
          <w:tcPr>
            <w:tcW w:w="2693" w:type="dxa"/>
            <w:noWrap w:val="0"/>
            <w:vAlign w:val="center"/>
          </w:tcPr>
          <w:p w14:paraId="6DD37D91">
            <w:pPr>
              <w:rPr>
                <w:rFonts w:ascii="Calibri" w:hAnsi="Calibri"/>
                <w:color w:val="000000"/>
                <w:szCs w:val="21"/>
              </w:rPr>
            </w:pPr>
            <w:r>
              <w:rPr>
                <w:rFonts w:ascii="Calibri" w:hAnsi="Calibri"/>
                <w:color w:val="000000"/>
                <w:szCs w:val="21"/>
              </w:rPr>
              <w:t>执行工业企业安全标准化体系，签订安全管理责任状</w:t>
            </w:r>
          </w:p>
        </w:tc>
      </w:tr>
    </w:tbl>
    <w:p w14:paraId="7B81C0BA">
      <w:pPr>
        <w:adjustRightInd w:val="0"/>
        <w:spacing w:line="360" w:lineRule="auto"/>
        <w:ind w:firstLine="539"/>
        <w:rPr>
          <w:rFonts w:ascii="宋体" w:hAnsi="宋体"/>
          <w:w w:val="90"/>
          <w:sz w:val="28"/>
          <w:szCs w:val="28"/>
        </w:rPr>
      </w:pPr>
      <w:r>
        <w:rPr>
          <w:rFonts w:ascii="宋体" w:hAnsi="宋体"/>
          <w:spacing w:val="2"/>
          <w:w w:val="90"/>
          <w:sz w:val="28"/>
          <w:szCs w:val="28"/>
        </w:rPr>
        <w:t>公司</w:t>
      </w:r>
      <w:r>
        <w:rPr>
          <w:rFonts w:hint="eastAsia" w:ascii="宋体" w:hAnsi="宋体"/>
          <w:spacing w:val="2"/>
          <w:w w:val="90"/>
          <w:sz w:val="28"/>
          <w:szCs w:val="28"/>
        </w:rPr>
        <w:t>以“</w:t>
      </w:r>
      <w:r>
        <w:rPr>
          <w:rFonts w:hint="eastAsia" w:ascii="宋体" w:hAnsi="宋体"/>
          <w:spacing w:val="2"/>
          <w:w w:val="90"/>
          <w:sz w:val="28"/>
          <w:szCs w:val="28"/>
          <w:lang w:eastAsia="zh-CN"/>
        </w:rPr>
        <w:t>开拓创新、开辟未来</w:t>
      </w:r>
      <w:r>
        <w:rPr>
          <w:rFonts w:hint="eastAsia" w:ascii="宋体" w:hAnsi="宋体"/>
          <w:spacing w:val="2"/>
          <w:w w:val="90"/>
          <w:sz w:val="28"/>
          <w:szCs w:val="28"/>
        </w:rPr>
        <w:t>”为核心价值观，</w:t>
      </w:r>
      <w:r>
        <w:rPr>
          <w:rFonts w:ascii="宋体" w:hAnsi="宋体"/>
          <w:spacing w:val="2"/>
          <w:w w:val="90"/>
          <w:sz w:val="28"/>
          <w:szCs w:val="28"/>
        </w:rPr>
        <w:t>在发展过程中坚持和倡导诚信，强调诚信经营、诚信品质、诚信纳税、诚信守法，切实履行法律法规和道德规范。公司对客户诚信，以顾客为导向，注重做好产品销售与售后服务，赢得了客户的信任、支持和肯定；公司对员工诚信，在工作、生活等方面身体力行关爱员工，提高员工满意度。公司合同履约率100%，确保与合作伙伴建立健康、规范的良好合作关</w:t>
      </w:r>
      <w:r>
        <w:rPr>
          <w:rFonts w:ascii="宋体" w:hAnsi="宋体"/>
          <w:spacing w:val="2"/>
          <w:w w:val="90"/>
          <w:sz w:val="24"/>
        </w:rPr>
        <w:t>系，</w:t>
      </w:r>
      <w:r>
        <w:rPr>
          <w:rFonts w:ascii="宋体" w:hAnsi="宋体"/>
          <w:spacing w:val="2"/>
          <w:w w:val="90"/>
          <w:sz w:val="28"/>
          <w:szCs w:val="28"/>
        </w:rPr>
        <w:t>打造信用企业。</w:t>
      </w:r>
    </w:p>
    <w:p w14:paraId="1D83C6A5">
      <w:pPr>
        <w:autoSpaceDE w:val="0"/>
        <w:autoSpaceDN w:val="0"/>
        <w:adjustRightInd w:val="0"/>
        <w:spacing w:line="300" w:lineRule="auto"/>
        <w:ind w:firstLine="482"/>
        <w:rPr>
          <w:rFonts w:hint="eastAsia"/>
          <w:w w:val="90"/>
          <w:sz w:val="28"/>
          <w:szCs w:val="28"/>
        </w:rPr>
      </w:pPr>
      <w:r>
        <w:rPr>
          <w:w w:val="90"/>
          <w:sz w:val="28"/>
          <w:szCs w:val="28"/>
        </w:rPr>
        <w:t>通过诚信经营，</w:t>
      </w:r>
      <w:r>
        <w:rPr>
          <w:rFonts w:hint="eastAsia"/>
          <w:w w:val="90"/>
          <w:sz w:val="28"/>
          <w:szCs w:val="28"/>
        </w:rPr>
        <w:t>将“</w:t>
      </w:r>
      <w:r>
        <w:rPr>
          <w:rFonts w:hint="eastAsia" w:ascii="宋体" w:hAnsi="宋体"/>
          <w:spacing w:val="2"/>
          <w:w w:val="90"/>
          <w:sz w:val="28"/>
          <w:szCs w:val="28"/>
        </w:rPr>
        <w:t>与人为善</w:t>
      </w:r>
      <w:r>
        <w:rPr>
          <w:rFonts w:hint="eastAsia"/>
          <w:w w:val="90"/>
          <w:sz w:val="28"/>
          <w:szCs w:val="28"/>
        </w:rPr>
        <w:t>”列为公司核心价值观之首，强调诚信经营、诚信品质、诚信纳税、</w:t>
      </w:r>
      <w:r>
        <w:rPr>
          <w:rFonts w:hint="eastAsia" w:ascii="Times New Roman" w:hAnsi="Times New Roman" w:eastAsia="宋体" w:cs="Times New Roman"/>
          <w:w w:val="90"/>
          <w:sz w:val="28"/>
          <w:szCs w:val="28"/>
        </w:rPr>
        <w:t>诚信守法，受到了顾客、供应商、政府、工商、税务、银行等部门的广泛好评。如多次被授予：</w:t>
      </w:r>
      <w:bookmarkStart w:id="1" w:name="_Hlk159704141"/>
      <w:r>
        <w:rPr>
          <w:rFonts w:hint="eastAsia" w:ascii="Times New Roman" w:hAnsi="Times New Roman" w:eastAsia="宋体" w:cs="Times New Roman"/>
          <w:w w:val="90"/>
          <w:sz w:val="28"/>
          <w:szCs w:val="28"/>
          <w:lang w:eastAsia="zh-CN"/>
        </w:rPr>
        <w:t>“</w:t>
      </w:r>
      <w:r>
        <w:rPr>
          <w:rFonts w:hint="eastAsia" w:ascii="Times New Roman" w:hAnsi="Times New Roman" w:eastAsia="宋体" w:cs="Times New Roman"/>
          <w:w w:val="90"/>
          <w:sz w:val="28"/>
          <w:szCs w:val="28"/>
        </w:rPr>
        <w:t>浙江省民营企业科技创新奖</w:t>
      </w:r>
      <w:r>
        <w:rPr>
          <w:rFonts w:hint="eastAsia" w:ascii="Times New Roman" w:hAnsi="Times New Roman" w:eastAsia="宋体" w:cs="Times New Roman"/>
          <w:w w:val="90"/>
          <w:sz w:val="28"/>
          <w:szCs w:val="28"/>
          <w:lang w:eastAsia="zh-CN"/>
        </w:rPr>
        <w:t>”、</w:t>
      </w:r>
      <w:r>
        <w:rPr>
          <w:rFonts w:hint="eastAsia" w:ascii="Times New Roman" w:hAnsi="Times New Roman" w:eastAsia="宋体" w:cs="Times New Roman"/>
          <w:w w:val="90"/>
          <w:sz w:val="28"/>
          <w:szCs w:val="28"/>
        </w:rPr>
        <w:t>“浙江省专利示范企业”</w:t>
      </w:r>
      <w:r>
        <w:rPr>
          <w:rFonts w:hint="eastAsia" w:ascii="Times New Roman" w:hAnsi="Times New Roman" w:eastAsia="宋体" w:cs="Times New Roman"/>
          <w:w w:val="90"/>
          <w:sz w:val="28"/>
          <w:szCs w:val="28"/>
          <w:lang w:eastAsia="zh-CN"/>
        </w:rPr>
        <w:t>、“浙江省科技进步奖”，是浙江省企业技术中心、浙江省特种电缆研发中心，参与国家</w:t>
      </w:r>
      <w:r>
        <w:rPr>
          <w:rFonts w:hint="eastAsia" w:ascii="Times New Roman" w:hAnsi="Times New Roman" w:eastAsia="宋体" w:cs="Times New Roman"/>
          <w:w w:val="90"/>
          <w:sz w:val="28"/>
          <w:szCs w:val="28"/>
          <w:lang w:val="en-US" w:eastAsia="zh-CN"/>
        </w:rPr>
        <w:t>/行业3项标准的制定</w:t>
      </w:r>
      <w:r>
        <w:rPr>
          <w:rFonts w:hint="eastAsia" w:ascii="Times New Roman" w:hAnsi="Times New Roman" w:eastAsia="宋体" w:cs="Times New Roman"/>
          <w:w w:val="90"/>
          <w:sz w:val="28"/>
          <w:szCs w:val="28"/>
        </w:rPr>
        <w:t>等</w:t>
      </w:r>
      <w:bookmarkEnd w:id="1"/>
      <w:r>
        <w:rPr>
          <w:rFonts w:hint="eastAsia" w:ascii="Times New Roman" w:hAnsi="Times New Roman" w:eastAsia="宋体" w:cs="Times New Roman"/>
          <w:w w:val="90"/>
          <w:sz w:val="28"/>
          <w:szCs w:val="28"/>
        </w:rPr>
        <w:t>。</w:t>
      </w:r>
    </w:p>
    <w:p w14:paraId="5C0AC6F3">
      <w:pPr>
        <w:autoSpaceDE w:val="0"/>
        <w:autoSpaceDN w:val="0"/>
        <w:adjustRightInd w:val="0"/>
        <w:spacing w:line="300" w:lineRule="auto"/>
        <w:ind w:firstLine="482"/>
        <w:rPr>
          <w:rFonts w:hint="eastAsia" w:ascii="宋体" w:hAnsi="宋体"/>
          <w:w w:val="90"/>
          <w:sz w:val="28"/>
          <w:szCs w:val="28"/>
        </w:rPr>
      </w:pPr>
      <w:r>
        <w:rPr>
          <w:w w:val="90"/>
          <w:sz w:val="28"/>
          <w:szCs w:val="28"/>
        </w:rPr>
        <w:t>为确保内部运行符合道德要求，公司制定了道德行为测量指</w:t>
      </w:r>
      <w:r>
        <w:rPr>
          <w:rFonts w:ascii="宋体" w:hAnsi="宋体"/>
          <w:w w:val="90"/>
          <w:sz w:val="28"/>
          <w:szCs w:val="28"/>
        </w:rPr>
        <w:t>标与方法。</w:t>
      </w:r>
      <w:r>
        <w:rPr>
          <w:rFonts w:hint="eastAsia" w:ascii="宋体" w:hAnsi="宋体"/>
          <w:w w:val="90"/>
          <w:sz w:val="28"/>
          <w:szCs w:val="28"/>
        </w:rPr>
        <w:t>如下表：</w:t>
      </w:r>
    </w:p>
    <w:p w14:paraId="4D99AC1F">
      <w:pPr>
        <w:pStyle w:val="7"/>
        <w:keepNext/>
        <w:adjustRightInd w:val="0"/>
        <w:spacing w:before="156" w:beforeLines="50" w:line="276" w:lineRule="auto"/>
        <w:ind w:firstLine="422"/>
        <w:jc w:val="center"/>
        <w:rPr>
          <w:rFonts w:hint="eastAsia" w:ascii="宋体" w:hAnsi="宋体" w:eastAsia="宋体"/>
          <w:b/>
          <w:w w:val="90"/>
          <w:sz w:val="28"/>
          <w:szCs w:val="28"/>
        </w:rPr>
      </w:pPr>
      <w:r>
        <w:rPr>
          <w:rFonts w:ascii="宋体" w:hAnsi="宋体" w:eastAsia="宋体"/>
          <w:b/>
          <w:w w:val="90"/>
          <w:sz w:val="28"/>
          <w:szCs w:val="28"/>
        </w:rPr>
        <w:t>公司道德行为监测体系</w:t>
      </w:r>
    </w:p>
    <w:tbl>
      <w:tblPr>
        <w:tblStyle w:val="3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46"/>
        <w:gridCol w:w="1249"/>
        <w:gridCol w:w="6435"/>
      </w:tblGrid>
      <w:tr w14:paraId="533A4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tblHeader/>
          <w:jc w:val="center"/>
        </w:trPr>
        <w:tc>
          <w:tcPr>
            <w:tcW w:w="1846" w:type="dxa"/>
            <w:shd w:val="clear" w:color="auto" w:fill="003399"/>
            <w:noWrap w:val="0"/>
            <w:vAlign w:val="center"/>
          </w:tcPr>
          <w:p w14:paraId="7570B28A">
            <w:pPr>
              <w:jc w:val="center"/>
              <w:rPr>
                <w:b/>
                <w:color w:val="FFFFFF"/>
                <w:szCs w:val="21"/>
              </w:rPr>
            </w:pPr>
            <w:r>
              <w:rPr>
                <w:rFonts w:hint="eastAsia"/>
                <w:b/>
                <w:color w:val="FFFFFF"/>
                <w:szCs w:val="21"/>
              </w:rPr>
              <w:t>行为对象</w:t>
            </w:r>
          </w:p>
        </w:tc>
        <w:tc>
          <w:tcPr>
            <w:tcW w:w="1249" w:type="dxa"/>
            <w:shd w:val="clear" w:color="auto" w:fill="003399"/>
            <w:noWrap w:val="0"/>
            <w:vAlign w:val="center"/>
          </w:tcPr>
          <w:p w14:paraId="2B23C85B">
            <w:pPr>
              <w:jc w:val="center"/>
              <w:rPr>
                <w:b/>
                <w:color w:val="FFFFFF"/>
                <w:szCs w:val="21"/>
              </w:rPr>
            </w:pPr>
            <w:r>
              <w:rPr>
                <w:rFonts w:hint="eastAsia"/>
                <w:b/>
                <w:color w:val="FFFFFF"/>
                <w:szCs w:val="21"/>
              </w:rPr>
              <w:t>关键过程</w:t>
            </w:r>
          </w:p>
        </w:tc>
        <w:tc>
          <w:tcPr>
            <w:tcW w:w="6435" w:type="dxa"/>
            <w:shd w:val="clear" w:color="auto" w:fill="003399"/>
            <w:noWrap w:val="0"/>
            <w:vAlign w:val="center"/>
          </w:tcPr>
          <w:p w14:paraId="314DD8C5">
            <w:pPr>
              <w:jc w:val="center"/>
              <w:rPr>
                <w:b/>
                <w:color w:val="FFFFFF"/>
                <w:szCs w:val="21"/>
              </w:rPr>
            </w:pPr>
            <w:r>
              <w:rPr>
                <w:rFonts w:hint="eastAsia"/>
                <w:b/>
                <w:color w:val="FFFFFF"/>
                <w:szCs w:val="21"/>
              </w:rPr>
              <w:t>测量指标</w:t>
            </w:r>
          </w:p>
        </w:tc>
      </w:tr>
      <w:tr w14:paraId="729EF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6" w:type="dxa"/>
            <w:vMerge w:val="restart"/>
            <w:noWrap w:val="0"/>
            <w:vAlign w:val="center"/>
          </w:tcPr>
          <w:p w14:paraId="0E10260B">
            <w:pPr>
              <w:jc w:val="center"/>
              <w:rPr>
                <w:rFonts w:hint="eastAsia"/>
                <w:szCs w:val="21"/>
              </w:rPr>
            </w:pPr>
            <w:r>
              <w:rPr>
                <w:rFonts w:hint="eastAsia"/>
                <w:szCs w:val="21"/>
              </w:rPr>
              <w:t>供应商、</w:t>
            </w:r>
          </w:p>
          <w:p w14:paraId="05214A79">
            <w:pPr>
              <w:jc w:val="center"/>
              <w:rPr>
                <w:szCs w:val="21"/>
              </w:rPr>
            </w:pPr>
            <w:r>
              <w:rPr>
                <w:rFonts w:hint="eastAsia"/>
                <w:szCs w:val="21"/>
              </w:rPr>
              <w:t>合作伙伴</w:t>
            </w:r>
          </w:p>
        </w:tc>
        <w:tc>
          <w:tcPr>
            <w:tcW w:w="1249" w:type="dxa"/>
            <w:vMerge w:val="restart"/>
            <w:noWrap w:val="0"/>
            <w:vAlign w:val="center"/>
          </w:tcPr>
          <w:p w14:paraId="7E2F2DBA">
            <w:pPr>
              <w:jc w:val="center"/>
              <w:rPr>
                <w:szCs w:val="21"/>
              </w:rPr>
            </w:pPr>
            <w:r>
              <w:rPr>
                <w:rFonts w:hint="eastAsia"/>
                <w:szCs w:val="21"/>
              </w:rPr>
              <w:t>招投标</w:t>
            </w:r>
          </w:p>
        </w:tc>
        <w:tc>
          <w:tcPr>
            <w:tcW w:w="6435" w:type="dxa"/>
            <w:noWrap w:val="0"/>
            <w:vAlign w:val="center"/>
          </w:tcPr>
          <w:p w14:paraId="1F2D4CC5">
            <w:pPr>
              <w:numPr>
                <w:ilvl w:val="0"/>
                <w:numId w:val="4"/>
              </w:numPr>
              <w:jc w:val="left"/>
              <w:rPr>
                <w:szCs w:val="21"/>
              </w:rPr>
            </w:pPr>
            <w:r>
              <w:rPr>
                <w:rFonts w:hint="eastAsia"/>
                <w:szCs w:val="21"/>
              </w:rPr>
              <w:t>索取、收受投标人贿赂或其他不正当利益的次数和金额</w:t>
            </w:r>
          </w:p>
        </w:tc>
      </w:tr>
      <w:tr w14:paraId="4975D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6" w:type="dxa"/>
            <w:vMerge w:val="continue"/>
            <w:noWrap w:val="0"/>
            <w:vAlign w:val="center"/>
          </w:tcPr>
          <w:p w14:paraId="3FE17515">
            <w:pPr>
              <w:jc w:val="center"/>
              <w:rPr>
                <w:szCs w:val="21"/>
              </w:rPr>
            </w:pPr>
          </w:p>
        </w:tc>
        <w:tc>
          <w:tcPr>
            <w:tcW w:w="1249" w:type="dxa"/>
            <w:vMerge w:val="continue"/>
            <w:noWrap w:val="0"/>
            <w:vAlign w:val="center"/>
          </w:tcPr>
          <w:p w14:paraId="59C12B22">
            <w:pPr>
              <w:jc w:val="center"/>
              <w:rPr>
                <w:szCs w:val="21"/>
              </w:rPr>
            </w:pPr>
          </w:p>
        </w:tc>
        <w:tc>
          <w:tcPr>
            <w:tcW w:w="6435" w:type="dxa"/>
            <w:noWrap w:val="0"/>
            <w:vAlign w:val="center"/>
          </w:tcPr>
          <w:p w14:paraId="0E0C0D5E">
            <w:pPr>
              <w:numPr>
                <w:ilvl w:val="0"/>
                <w:numId w:val="4"/>
              </w:numPr>
              <w:jc w:val="left"/>
              <w:rPr>
                <w:szCs w:val="21"/>
              </w:rPr>
            </w:pPr>
            <w:r>
              <w:rPr>
                <w:rFonts w:hint="eastAsia"/>
                <w:szCs w:val="21"/>
              </w:rPr>
              <w:t>将项目分拆或以其他方式规避招标的次数和项目金额</w:t>
            </w:r>
          </w:p>
        </w:tc>
      </w:tr>
      <w:tr w14:paraId="58A13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6" w:type="dxa"/>
            <w:vMerge w:val="continue"/>
            <w:noWrap w:val="0"/>
            <w:vAlign w:val="center"/>
          </w:tcPr>
          <w:p w14:paraId="5C1DA842">
            <w:pPr>
              <w:jc w:val="center"/>
              <w:rPr>
                <w:szCs w:val="21"/>
              </w:rPr>
            </w:pPr>
          </w:p>
        </w:tc>
        <w:tc>
          <w:tcPr>
            <w:tcW w:w="1249" w:type="dxa"/>
            <w:noWrap w:val="0"/>
            <w:vAlign w:val="center"/>
          </w:tcPr>
          <w:p w14:paraId="7133EE7B">
            <w:pPr>
              <w:jc w:val="center"/>
              <w:rPr>
                <w:szCs w:val="21"/>
              </w:rPr>
            </w:pPr>
            <w:r>
              <w:rPr>
                <w:rFonts w:hint="eastAsia"/>
                <w:szCs w:val="21"/>
              </w:rPr>
              <w:t>合同管理</w:t>
            </w:r>
          </w:p>
        </w:tc>
        <w:tc>
          <w:tcPr>
            <w:tcW w:w="6435" w:type="dxa"/>
            <w:noWrap w:val="0"/>
            <w:vAlign w:val="center"/>
          </w:tcPr>
          <w:p w14:paraId="47783CB4">
            <w:pPr>
              <w:jc w:val="left"/>
              <w:rPr>
                <w:szCs w:val="21"/>
              </w:rPr>
            </w:pPr>
            <w:r>
              <w:rPr>
                <w:rFonts w:hint="eastAsia"/>
                <w:szCs w:val="21"/>
              </w:rPr>
              <w:t>因疏忽或故意而导致公司遭受损失的金额</w:t>
            </w:r>
          </w:p>
        </w:tc>
      </w:tr>
      <w:tr w14:paraId="0731E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6" w:type="dxa"/>
            <w:noWrap w:val="0"/>
            <w:vAlign w:val="center"/>
          </w:tcPr>
          <w:p w14:paraId="5E4D80D5">
            <w:pPr>
              <w:jc w:val="center"/>
              <w:rPr>
                <w:szCs w:val="21"/>
              </w:rPr>
            </w:pPr>
            <w:r>
              <w:rPr>
                <w:rFonts w:hint="eastAsia"/>
                <w:szCs w:val="21"/>
              </w:rPr>
              <w:t>顾客</w:t>
            </w:r>
          </w:p>
        </w:tc>
        <w:tc>
          <w:tcPr>
            <w:tcW w:w="1249" w:type="dxa"/>
            <w:noWrap w:val="0"/>
            <w:vAlign w:val="center"/>
          </w:tcPr>
          <w:p w14:paraId="3738C051">
            <w:pPr>
              <w:widowControl/>
              <w:jc w:val="center"/>
              <w:textAlignment w:val="baseline"/>
              <w:rPr>
                <w:szCs w:val="21"/>
              </w:rPr>
            </w:pPr>
            <w:r>
              <w:rPr>
                <w:rFonts w:hint="eastAsia"/>
                <w:szCs w:val="21"/>
              </w:rPr>
              <w:t>顾客服务</w:t>
            </w:r>
          </w:p>
        </w:tc>
        <w:tc>
          <w:tcPr>
            <w:tcW w:w="6435" w:type="dxa"/>
            <w:noWrap w:val="0"/>
            <w:vAlign w:val="center"/>
          </w:tcPr>
          <w:p w14:paraId="6850677B">
            <w:pPr>
              <w:jc w:val="left"/>
              <w:rPr>
                <w:szCs w:val="21"/>
              </w:rPr>
            </w:pPr>
            <w:r>
              <w:rPr>
                <w:rFonts w:hint="eastAsia"/>
                <w:szCs w:val="21"/>
              </w:rPr>
              <w:t>没有按承诺向顾客提供及时服务而被投诉的次数</w:t>
            </w:r>
          </w:p>
        </w:tc>
      </w:tr>
      <w:tr w14:paraId="29067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6" w:type="dxa"/>
            <w:noWrap w:val="0"/>
            <w:vAlign w:val="center"/>
          </w:tcPr>
          <w:p w14:paraId="65F602FE">
            <w:pPr>
              <w:jc w:val="center"/>
              <w:rPr>
                <w:szCs w:val="21"/>
              </w:rPr>
            </w:pPr>
            <w:r>
              <w:rPr>
                <w:rFonts w:hint="eastAsia"/>
                <w:szCs w:val="21"/>
              </w:rPr>
              <w:t>其他利益相关者</w:t>
            </w:r>
          </w:p>
        </w:tc>
        <w:tc>
          <w:tcPr>
            <w:tcW w:w="1249" w:type="dxa"/>
            <w:noWrap w:val="0"/>
            <w:vAlign w:val="center"/>
          </w:tcPr>
          <w:p w14:paraId="1E9D139A">
            <w:pPr>
              <w:widowControl/>
              <w:jc w:val="center"/>
              <w:textAlignment w:val="baseline"/>
              <w:rPr>
                <w:szCs w:val="21"/>
              </w:rPr>
            </w:pPr>
            <w:r>
              <w:rPr>
                <w:rFonts w:hint="eastAsia"/>
                <w:szCs w:val="21"/>
              </w:rPr>
              <w:t>公司经营</w:t>
            </w:r>
          </w:p>
        </w:tc>
        <w:tc>
          <w:tcPr>
            <w:tcW w:w="6435" w:type="dxa"/>
            <w:noWrap w:val="0"/>
            <w:vAlign w:val="center"/>
          </w:tcPr>
          <w:p w14:paraId="61AAFFFA">
            <w:pPr>
              <w:jc w:val="left"/>
              <w:rPr>
                <w:szCs w:val="21"/>
              </w:rPr>
            </w:pPr>
            <w:r>
              <w:rPr>
                <w:rFonts w:hint="eastAsia"/>
                <w:szCs w:val="21"/>
              </w:rPr>
              <w:t>不按要求披露信息对公司产生不利影响的程度</w:t>
            </w:r>
          </w:p>
        </w:tc>
      </w:tr>
      <w:tr w14:paraId="0A9D49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6" w:type="dxa"/>
            <w:vMerge w:val="restart"/>
            <w:noWrap w:val="0"/>
            <w:vAlign w:val="center"/>
          </w:tcPr>
          <w:p w14:paraId="3C28B3F9">
            <w:pPr>
              <w:jc w:val="center"/>
              <w:rPr>
                <w:szCs w:val="21"/>
              </w:rPr>
            </w:pPr>
            <w:r>
              <w:rPr>
                <w:rFonts w:hint="eastAsia"/>
                <w:szCs w:val="21"/>
              </w:rPr>
              <w:t>员工</w:t>
            </w:r>
          </w:p>
        </w:tc>
        <w:tc>
          <w:tcPr>
            <w:tcW w:w="1249" w:type="dxa"/>
            <w:vMerge w:val="restart"/>
            <w:noWrap w:val="0"/>
            <w:vAlign w:val="center"/>
          </w:tcPr>
          <w:p w14:paraId="734E1ED7">
            <w:pPr>
              <w:widowControl/>
              <w:jc w:val="center"/>
              <w:textAlignment w:val="baseline"/>
              <w:rPr>
                <w:szCs w:val="21"/>
              </w:rPr>
            </w:pPr>
            <w:r>
              <w:rPr>
                <w:rFonts w:hint="eastAsia"/>
                <w:szCs w:val="21"/>
              </w:rPr>
              <w:t>公司经营</w:t>
            </w:r>
          </w:p>
        </w:tc>
        <w:tc>
          <w:tcPr>
            <w:tcW w:w="6435" w:type="dxa"/>
            <w:noWrap w:val="0"/>
            <w:vAlign w:val="center"/>
          </w:tcPr>
          <w:p w14:paraId="538196A3">
            <w:pPr>
              <w:jc w:val="left"/>
              <w:rPr>
                <w:szCs w:val="21"/>
              </w:rPr>
            </w:pPr>
            <w:r>
              <w:rPr>
                <w:rFonts w:hint="eastAsia"/>
                <w:szCs w:val="21"/>
              </w:rPr>
              <w:t>不服从工作分配，或无理取闹影响生产和工作秩序的严重程度</w:t>
            </w:r>
          </w:p>
        </w:tc>
      </w:tr>
      <w:tr w14:paraId="77848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6" w:type="dxa"/>
            <w:vMerge w:val="continue"/>
            <w:noWrap w:val="0"/>
            <w:vAlign w:val="center"/>
          </w:tcPr>
          <w:p w14:paraId="036A1CFC">
            <w:pPr>
              <w:jc w:val="left"/>
              <w:rPr>
                <w:szCs w:val="21"/>
              </w:rPr>
            </w:pPr>
          </w:p>
        </w:tc>
        <w:tc>
          <w:tcPr>
            <w:tcW w:w="1249" w:type="dxa"/>
            <w:vMerge w:val="continue"/>
            <w:noWrap w:val="0"/>
            <w:vAlign w:val="center"/>
          </w:tcPr>
          <w:p w14:paraId="27573885">
            <w:pPr>
              <w:widowControl/>
              <w:jc w:val="left"/>
              <w:textAlignment w:val="baseline"/>
              <w:rPr>
                <w:szCs w:val="21"/>
              </w:rPr>
            </w:pPr>
          </w:p>
        </w:tc>
        <w:tc>
          <w:tcPr>
            <w:tcW w:w="6435" w:type="dxa"/>
            <w:noWrap w:val="0"/>
            <w:vAlign w:val="center"/>
          </w:tcPr>
          <w:p w14:paraId="369AA662">
            <w:pPr>
              <w:jc w:val="left"/>
              <w:rPr>
                <w:szCs w:val="21"/>
              </w:rPr>
            </w:pPr>
            <w:r>
              <w:rPr>
                <w:rFonts w:hint="eastAsia"/>
                <w:szCs w:val="21"/>
              </w:rPr>
              <w:t>高层领导违背民主管理制度而侵犯员工合法权益的程度</w:t>
            </w:r>
          </w:p>
        </w:tc>
      </w:tr>
      <w:tr w14:paraId="4EF8C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846" w:type="dxa"/>
            <w:vMerge w:val="continue"/>
            <w:noWrap w:val="0"/>
            <w:vAlign w:val="center"/>
          </w:tcPr>
          <w:p w14:paraId="5E9DA242">
            <w:pPr>
              <w:jc w:val="left"/>
              <w:rPr>
                <w:szCs w:val="21"/>
              </w:rPr>
            </w:pPr>
          </w:p>
        </w:tc>
        <w:tc>
          <w:tcPr>
            <w:tcW w:w="1249" w:type="dxa"/>
            <w:vMerge w:val="continue"/>
            <w:noWrap w:val="0"/>
            <w:vAlign w:val="center"/>
          </w:tcPr>
          <w:p w14:paraId="24B5E7F2">
            <w:pPr>
              <w:widowControl/>
              <w:jc w:val="left"/>
              <w:textAlignment w:val="baseline"/>
              <w:rPr>
                <w:szCs w:val="21"/>
              </w:rPr>
            </w:pPr>
          </w:p>
        </w:tc>
        <w:tc>
          <w:tcPr>
            <w:tcW w:w="6435" w:type="dxa"/>
            <w:noWrap w:val="0"/>
            <w:vAlign w:val="center"/>
          </w:tcPr>
          <w:p w14:paraId="0E452F06">
            <w:pPr>
              <w:jc w:val="left"/>
              <w:rPr>
                <w:szCs w:val="21"/>
              </w:rPr>
            </w:pPr>
            <w:r>
              <w:rPr>
                <w:rFonts w:hint="eastAsia"/>
                <w:szCs w:val="21"/>
              </w:rPr>
              <w:t>高层领导以权谋私、损害企业利益的金额和影响程度</w:t>
            </w:r>
          </w:p>
        </w:tc>
      </w:tr>
    </w:tbl>
    <w:p w14:paraId="672F111A">
      <w:pPr>
        <w:spacing w:line="360" w:lineRule="auto"/>
        <w:ind w:firstLine="504" w:firstLineChars="200"/>
        <w:rPr>
          <w:rFonts w:hint="eastAsia" w:ascii="宋体" w:hAnsi="宋体"/>
          <w:w w:val="90"/>
          <w:sz w:val="28"/>
          <w:szCs w:val="28"/>
        </w:rPr>
      </w:pPr>
      <w:r>
        <w:rPr>
          <w:rFonts w:hint="eastAsia" w:ascii="宋体" w:hAnsi="宋体"/>
          <w:w w:val="90"/>
          <w:sz w:val="28"/>
          <w:szCs w:val="28"/>
        </w:rPr>
        <w:t>在质量安全方面，公司本着“累积点滴改进，迈向卓越品质;拒安全事故，保员工健康；为合作伙伴创造价值,合作伙伴共赢；为社会创造价值，推进科技进步”的</w:t>
      </w:r>
      <w:r>
        <w:rPr>
          <w:rFonts w:hint="eastAsia" w:ascii="宋体" w:hAnsi="宋体"/>
          <w:w w:val="90"/>
          <w:sz w:val="28"/>
          <w:szCs w:val="28"/>
          <w:lang w:val="en-US" w:eastAsia="zh-CN"/>
        </w:rPr>
        <w:t>管理</w:t>
      </w:r>
      <w:r>
        <w:rPr>
          <w:rFonts w:hint="eastAsia" w:ascii="宋体" w:hAnsi="宋体"/>
          <w:w w:val="90"/>
          <w:sz w:val="28"/>
          <w:szCs w:val="28"/>
        </w:rPr>
        <w:t>方针，积极履行质量安全职责，严格执行行业标准和法律法规，定期通过ISO9001质量管理体系国际认证复审，建立健全公司的质量管理体系，使</w:t>
      </w:r>
      <w:r>
        <w:rPr>
          <w:rFonts w:hint="eastAsia" w:ascii="宋体" w:hAnsi="宋体"/>
          <w:w w:val="90"/>
          <w:sz w:val="28"/>
          <w:szCs w:val="28"/>
          <w:lang w:eastAsia="zh-CN"/>
        </w:rPr>
        <w:t>开开电缆</w:t>
      </w:r>
      <w:r>
        <w:rPr>
          <w:rFonts w:hint="eastAsia" w:ascii="宋体" w:hAnsi="宋体"/>
          <w:w w:val="90"/>
          <w:sz w:val="28"/>
          <w:szCs w:val="28"/>
        </w:rPr>
        <w:t>电缆的质量管理与国际接轨。经过20年的发展和积累，公司在分析国家政策、行业环境、企业内部环境等因素的基础上，做出了对内打造品牌和质量的产品核心，对外开展多方合作和产品延伸的战略部署。企业也获得了诸多殊荣：</w:t>
      </w:r>
      <w:r>
        <w:rPr>
          <w:rFonts w:hint="eastAsia" w:ascii="宋体" w:hAnsi="宋体"/>
          <w:w w:val="90"/>
          <w:sz w:val="28"/>
          <w:szCs w:val="28"/>
          <w:lang w:eastAsia="zh-CN"/>
        </w:rPr>
        <w:t>路桥区政府质量奖</w:t>
      </w:r>
      <w:r>
        <w:rPr>
          <w:rFonts w:hint="eastAsia" w:ascii="宋体" w:hAnsi="宋体"/>
          <w:w w:val="90"/>
          <w:sz w:val="28"/>
          <w:szCs w:val="28"/>
        </w:rPr>
        <w:t>、“中国驰名商标”、“浙江省著名商标”、“浙江名牌产品”、“中国最具品牌竞争潜力100强民营企业”、“全国电线电缆行业顾客满意度AAA级企业”等……。公司的发展一步一个脚印，取得了一座又一座丰碑。</w:t>
      </w:r>
    </w:p>
    <w:p w14:paraId="07126B07">
      <w:pPr>
        <w:spacing w:line="360" w:lineRule="auto"/>
        <w:ind w:firstLine="496" w:firstLineChars="200"/>
        <w:rPr>
          <w:rFonts w:hint="eastAsia" w:ascii="宋体" w:hAnsi="宋体"/>
          <w:spacing w:val="-2"/>
          <w:w w:val="90"/>
          <w:sz w:val="28"/>
          <w:szCs w:val="28"/>
        </w:rPr>
      </w:pPr>
      <w:r>
        <w:rPr>
          <w:rFonts w:hint="eastAsia" w:ascii="宋体" w:hAnsi="宋体"/>
          <w:spacing w:val="-2"/>
          <w:w w:val="90"/>
          <w:sz w:val="28"/>
          <w:szCs w:val="28"/>
        </w:rPr>
        <w:t>在组织建设方面：公司高度重视绿色发展，设置绿色工厂管理机构，负责有关绿色发展的制度建设、培训教育、实施、考核及奖励工作，建立目标责任制。制定了绿色工厂建设中长期规划、可量化的年度目标和实施方案，并确保对绿色工厂创建项目的资金和资源投入。</w:t>
      </w:r>
    </w:p>
    <w:p w14:paraId="3AE30FFB">
      <w:pPr>
        <w:spacing w:line="360" w:lineRule="auto"/>
        <w:ind w:firstLine="496" w:firstLineChars="200"/>
        <w:rPr>
          <w:rFonts w:hint="eastAsia" w:ascii="宋体" w:hAnsi="宋体"/>
          <w:spacing w:val="-2"/>
          <w:w w:val="90"/>
          <w:sz w:val="28"/>
          <w:szCs w:val="28"/>
        </w:rPr>
      </w:pPr>
      <w:r>
        <w:rPr>
          <w:rFonts w:hint="eastAsia" w:ascii="宋体" w:hAnsi="宋体"/>
          <w:spacing w:val="-2"/>
          <w:w w:val="90"/>
          <w:sz w:val="28"/>
          <w:szCs w:val="28"/>
        </w:rPr>
        <w:t>在体系建设方面：公司具有较强的质量、职业健康、环保、安全生产和节能管理水平，已建立满足 GB/T 19001 要求的质量管理体系、GB/T 45001 要求的职业健康安全管理体系、GB/T24001 要求的环境管理体系以及 GB/T 31950-2015要求的诚信管理体系，并通过第三方认证。</w:t>
      </w:r>
    </w:p>
    <w:p w14:paraId="48DE3876">
      <w:pPr>
        <w:spacing w:line="360" w:lineRule="auto"/>
        <w:ind w:firstLine="496" w:firstLineChars="200"/>
        <w:rPr>
          <w:rFonts w:hint="eastAsia" w:ascii="宋体" w:hAnsi="宋体"/>
          <w:spacing w:val="-2"/>
          <w:w w:val="90"/>
          <w:sz w:val="28"/>
          <w:szCs w:val="28"/>
        </w:rPr>
      </w:pPr>
      <w:r>
        <w:rPr>
          <w:rFonts w:hint="eastAsia" w:ascii="宋体" w:hAnsi="宋体"/>
          <w:spacing w:val="-2"/>
          <w:w w:val="90"/>
          <w:sz w:val="28"/>
          <w:szCs w:val="28"/>
        </w:rPr>
        <w:t>随着人们生活水平的提高和环保意识的增强，消费者逐渐要求电梯产品不仅要外观精美、结实耐用，更要对人体无毒害作用、对环境友好。在工艺方面，公司研究改进设计作业流程与施工标准规范，避免基材外露，确保密封性更好、减少有害气体外泄和消费者接触，并防止板材受潮变形。</w:t>
      </w:r>
    </w:p>
    <w:p w14:paraId="268C8130">
      <w:pPr>
        <w:spacing w:line="360" w:lineRule="auto"/>
        <w:ind w:firstLine="553"/>
        <w:rPr>
          <w:rFonts w:hint="eastAsia" w:ascii="宋体" w:hAnsi="宋体"/>
          <w:b/>
          <w:w w:val="90"/>
          <w:sz w:val="28"/>
          <w:szCs w:val="28"/>
        </w:rPr>
      </w:pPr>
      <w:r>
        <w:rPr>
          <w:rFonts w:hint="eastAsia" w:ascii="宋体" w:hAnsi="宋体"/>
          <w:b/>
          <w:w w:val="90"/>
          <w:sz w:val="28"/>
          <w:szCs w:val="28"/>
        </w:rPr>
        <w:t>四、关注员工的文化建设和健康</w:t>
      </w:r>
    </w:p>
    <w:p w14:paraId="2CAC64AD">
      <w:pPr>
        <w:spacing w:line="360" w:lineRule="auto"/>
        <w:ind w:firstLine="556" w:firstLineChars="221"/>
        <w:rPr>
          <w:rFonts w:hint="eastAsia" w:ascii="宋体" w:hAnsi="宋体"/>
          <w:w w:val="90"/>
          <w:sz w:val="28"/>
          <w:szCs w:val="28"/>
        </w:rPr>
      </w:pPr>
      <w:r>
        <w:rPr>
          <w:rFonts w:hint="eastAsia" w:ascii="宋体" w:hAnsi="宋体"/>
          <w:w w:val="90"/>
          <w:sz w:val="28"/>
          <w:szCs w:val="28"/>
        </w:rPr>
        <w:t>公司除了生产上的安全关注，公司也十分重视员工的文化建设和健康。这主要体现在我们努力为员工创造舒适的工作环境和生活环境，如知识竞赛、QHSE积分兑换活动、周年庆文艺晚会、军训等运动和休闲、阅读及娱乐等等活动。除了硬件保障之外，我们还通过诸如技能竞赛、员工聚餐和文娱活动等员工活动来调动员工的工作激情，丰富员工的业余生活，获得了员工的广泛好评。</w:t>
      </w:r>
    </w:p>
    <w:p w14:paraId="715C6530">
      <w:pPr>
        <w:spacing w:line="300" w:lineRule="auto"/>
        <w:jc w:val="center"/>
        <w:rPr>
          <w:b/>
          <w:bCs/>
          <w:w w:val="90"/>
          <w:sz w:val="28"/>
          <w:szCs w:val="28"/>
        </w:rPr>
      </w:pPr>
      <w:r>
        <w:rPr>
          <w:rFonts w:hint="eastAsia"/>
          <w:b/>
          <w:bCs/>
          <w:w w:val="90"/>
          <w:sz w:val="28"/>
          <w:szCs w:val="28"/>
        </w:rPr>
        <w:t>丰富多彩的文体活动</w:t>
      </w:r>
    </w:p>
    <w:p w14:paraId="0D87DA7A">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2959735" cy="1905635"/>
            <wp:effectExtent l="0" t="0" r="12065" b="18415"/>
            <wp:docPr id="3" name="图片 8" descr="175006863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1750068631952"/>
                    <pic:cNvPicPr>
                      <a:picLocks noChangeAspect="1"/>
                    </pic:cNvPicPr>
                  </pic:nvPicPr>
                  <pic:blipFill>
                    <a:blip r:embed="rId10"/>
                    <a:stretch>
                      <a:fillRect/>
                    </a:stretch>
                  </pic:blipFill>
                  <pic:spPr>
                    <a:xfrm>
                      <a:off x="0" y="0"/>
                      <a:ext cx="2959735" cy="1905635"/>
                    </a:xfrm>
                    <a:prstGeom prst="rect">
                      <a:avLst/>
                    </a:prstGeom>
                    <a:noFill/>
                    <a:ln>
                      <a:noFill/>
                    </a:ln>
                  </pic:spPr>
                </pic:pic>
              </a:graphicData>
            </a:graphic>
          </wp:inline>
        </w:drawing>
      </w:r>
      <w:r>
        <w:rPr>
          <w:rFonts w:hint="eastAsia" w:eastAsia="宋体"/>
          <w:lang w:eastAsia="zh-CN"/>
        </w:rPr>
        <w:drawing>
          <wp:inline distT="0" distB="0" distL="114300" distR="114300">
            <wp:extent cx="2681605" cy="1920240"/>
            <wp:effectExtent l="0" t="0" r="4445" b="3810"/>
            <wp:docPr id="4" name="图片 9" descr="175006869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1750068696291"/>
                    <pic:cNvPicPr>
                      <a:picLocks noChangeAspect="1"/>
                    </pic:cNvPicPr>
                  </pic:nvPicPr>
                  <pic:blipFill>
                    <a:blip r:embed="rId11"/>
                    <a:stretch>
                      <a:fillRect/>
                    </a:stretch>
                  </pic:blipFill>
                  <pic:spPr>
                    <a:xfrm>
                      <a:off x="0" y="0"/>
                      <a:ext cx="2681605" cy="1920240"/>
                    </a:xfrm>
                    <a:prstGeom prst="rect">
                      <a:avLst/>
                    </a:prstGeom>
                    <a:noFill/>
                    <a:ln>
                      <a:noFill/>
                    </a:ln>
                  </pic:spPr>
                </pic:pic>
              </a:graphicData>
            </a:graphic>
          </wp:inline>
        </w:drawing>
      </w:r>
    </w:p>
    <w:p w14:paraId="337DBD49">
      <w:pPr>
        <w:pStyle w:val="12"/>
        <w:adjustRightInd w:val="0"/>
        <w:spacing w:after="0" w:line="300" w:lineRule="auto"/>
        <w:ind w:left="0" w:leftChars="0" w:firstLine="504" w:firstLineChars="200"/>
        <w:rPr>
          <w:rFonts w:hint="eastAsia" w:ascii="宋体" w:hAnsi="宋体"/>
          <w:w w:val="90"/>
          <w:sz w:val="28"/>
          <w:szCs w:val="28"/>
        </w:rPr>
      </w:pPr>
      <w:r>
        <w:rPr>
          <w:rFonts w:ascii="宋体" w:hAnsi="宋体"/>
          <w:w w:val="90"/>
          <w:sz w:val="28"/>
          <w:szCs w:val="28"/>
        </w:rPr>
        <w:t>公司坚持</w:t>
      </w:r>
      <w:r>
        <w:rPr>
          <w:rFonts w:hint="eastAsia" w:ascii="宋体" w:hAnsi="宋体"/>
          <w:w w:val="90"/>
          <w:sz w:val="28"/>
          <w:szCs w:val="28"/>
        </w:rPr>
        <w:t>“</w:t>
      </w:r>
      <w:r>
        <w:rPr>
          <w:rFonts w:ascii="宋体" w:hAnsi="宋体"/>
          <w:w w:val="90"/>
          <w:sz w:val="28"/>
          <w:szCs w:val="28"/>
        </w:rPr>
        <w:t>以人为本</w:t>
      </w:r>
      <w:r>
        <w:rPr>
          <w:rFonts w:hint="eastAsia" w:ascii="宋体" w:hAnsi="宋体"/>
          <w:w w:val="90"/>
          <w:sz w:val="28"/>
          <w:szCs w:val="28"/>
        </w:rPr>
        <w:t>”</w:t>
      </w:r>
      <w:r>
        <w:rPr>
          <w:rFonts w:ascii="宋体" w:hAnsi="宋体"/>
          <w:w w:val="90"/>
          <w:sz w:val="28"/>
          <w:szCs w:val="28"/>
        </w:rPr>
        <w:t>，定期召开员工代表座谈会，及时解决员工关心问题；保障员工薪酬增长，持续为员工改善伙食；逐步降低一线员工劳动强度，员工奖惩公开透明，遏制不公；对困难员工给予温暖和人性关怀，如发放困难补助，增强员工对公司认同感和归宿感。</w:t>
      </w:r>
    </w:p>
    <w:p w14:paraId="4CA37AB8">
      <w:pPr>
        <w:widowControl/>
        <w:adjustRightInd w:val="0"/>
        <w:spacing w:line="360" w:lineRule="auto"/>
        <w:ind w:firstLine="547" w:firstLineChars="216"/>
        <w:jc w:val="left"/>
        <w:rPr>
          <w:rFonts w:hint="eastAsia"/>
          <w:b/>
          <w:w w:val="90"/>
          <w:kern w:val="0"/>
          <w:sz w:val="28"/>
          <w:szCs w:val="28"/>
        </w:rPr>
      </w:pPr>
      <w:r>
        <w:rPr>
          <w:rFonts w:hint="eastAsia"/>
          <w:b/>
          <w:w w:val="90"/>
          <w:kern w:val="0"/>
          <w:sz w:val="28"/>
          <w:szCs w:val="28"/>
        </w:rPr>
        <w:t>五、回报社会，参与公益事业</w:t>
      </w:r>
    </w:p>
    <w:p w14:paraId="7195B5CB">
      <w:pPr>
        <w:spacing w:line="360" w:lineRule="auto"/>
        <w:ind w:firstLine="506" w:firstLineChars="201"/>
        <w:rPr>
          <w:rFonts w:hint="eastAsia" w:ascii="宋体" w:hAnsi="宋体"/>
          <w:w w:val="90"/>
          <w:sz w:val="28"/>
          <w:szCs w:val="28"/>
        </w:rPr>
      </w:pPr>
      <w:r>
        <w:rPr>
          <w:rFonts w:hint="eastAsia" w:ascii="宋体" w:hAnsi="宋体"/>
          <w:w w:val="90"/>
          <w:sz w:val="28"/>
          <w:szCs w:val="28"/>
        </w:rPr>
        <w:t>公司以“至</w:t>
      </w:r>
      <w:r>
        <w:rPr>
          <w:rFonts w:hint="eastAsia" w:ascii="宋体" w:hAnsi="宋体"/>
          <w:w w:val="90"/>
          <w:sz w:val="28"/>
          <w:szCs w:val="28"/>
          <w:lang w:eastAsia="zh-CN"/>
        </w:rPr>
        <w:t>开拓创新、开辟未来</w:t>
      </w:r>
      <w:r>
        <w:rPr>
          <w:rFonts w:hint="eastAsia" w:ascii="宋体" w:hAnsi="宋体"/>
          <w:w w:val="90"/>
          <w:sz w:val="28"/>
          <w:szCs w:val="28"/>
        </w:rPr>
        <w:t>”为核心价值观，在发展过程中坚持和倡导诚信，强调诚信经营、诚信品质、诚信纳税、诚信守法，切实履行法律法规和道德规范。公司对客户诚信，以顾客为导向，注重做好产品销售与售后服务，赢得了客户的信任、支持和肯定；公司对员工诚信，在工作、生活等方面身体力行关爱员工，提高员工满意度。公司合同履约率100%，确保与合作伙伴建立健康、规范的良好合作关系，打造信用企业。</w:t>
      </w:r>
    </w:p>
    <w:p w14:paraId="223AC3B4">
      <w:pPr>
        <w:spacing w:line="360" w:lineRule="auto"/>
        <w:ind w:firstLine="506" w:firstLineChars="201"/>
        <w:rPr>
          <w:rFonts w:hint="eastAsia" w:ascii="宋体" w:hAnsi="宋体"/>
          <w:w w:val="90"/>
          <w:sz w:val="28"/>
          <w:szCs w:val="28"/>
        </w:rPr>
      </w:pPr>
      <w:r>
        <w:rPr>
          <w:rFonts w:hint="eastAsia" w:ascii="宋体" w:hAnsi="宋体"/>
          <w:w w:val="90"/>
          <w:sz w:val="28"/>
          <w:szCs w:val="28"/>
        </w:rPr>
        <w:t>公司作为构成社会有机整体的基本单位，在谋求发展的同时，不忘回馈社会，承担相应的社会责任，积极支持公益事业。同时，积极主动承担行业领导责任，为促进行业发展贡献力量。近三年各类慈善捐款捐物和公益支持累计10多万元。公司秉承爱国重教的光荣传统，明确了公益支持重点为教育事业、科普事业、环保和促进行业发展，并在每年的经营计划中拨出专款，由公司办公室负责落实。</w:t>
      </w:r>
    </w:p>
    <w:p w14:paraId="3D088097">
      <w:pPr>
        <w:pStyle w:val="184"/>
        <w:widowControl/>
        <w:adjustRightInd w:val="0"/>
        <w:spacing w:line="360" w:lineRule="auto"/>
        <w:ind w:firstLine="505"/>
        <w:jc w:val="left"/>
        <w:rPr>
          <w:rFonts w:ascii="宋体" w:hAnsi="宋体"/>
          <w:w w:val="90"/>
          <w:sz w:val="28"/>
          <w:szCs w:val="28"/>
        </w:rPr>
      </w:pPr>
      <w:r>
        <w:rPr>
          <w:rFonts w:hint="eastAsia" w:ascii="宋体" w:hAnsi="宋体"/>
          <w:b/>
          <w:w w:val="90"/>
          <w:sz w:val="28"/>
          <w:szCs w:val="28"/>
        </w:rPr>
        <w:t>助力慈善事业：</w:t>
      </w:r>
      <w:r>
        <w:rPr>
          <w:rFonts w:hint="eastAsia" w:ascii="宋体" w:hAnsi="宋体"/>
          <w:w w:val="90"/>
          <w:sz w:val="28"/>
          <w:szCs w:val="28"/>
        </w:rPr>
        <w:t>2020年2月为抗击疫情向</w:t>
      </w:r>
      <w:r>
        <w:rPr>
          <w:rFonts w:hint="eastAsia" w:ascii="宋体" w:hAnsi="宋体"/>
          <w:w w:val="90"/>
          <w:sz w:val="28"/>
          <w:szCs w:val="28"/>
          <w:lang w:eastAsia="zh-CN"/>
        </w:rPr>
        <w:t>台州湾新区</w:t>
      </w:r>
      <w:r>
        <w:rPr>
          <w:rFonts w:hint="eastAsia" w:ascii="宋体" w:hAnsi="宋体"/>
          <w:w w:val="90"/>
          <w:sz w:val="28"/>
          <w:szCs w:val="28"/>
        </w:rPr>
        <w:t>慈善总会捐助30000元。2021年9月为继续抗击疫情向</w:t>
      </w:r>
      <w:r>
        <w:rPr>
          <w:rFonts w:hint="eastAsia" w:ascii="宋体" w:hAnsi="宋体"/>
          <w:w w:val="90"/>
          <w:sz w:val="28"/>
          <w:szCs w:val="28"/>
          <w:lang w:eastAsia="zh-CN"/>
        </w:rPr>
        <w:t>台州湾新区</w:t>
      </w:r>
      <w:r>
        <w:rPr>
          <w:rFonts w:hint="eastAsia" w:ascii="宋体" w:hAnsi="宋体"/>
          <w:w w:val="90"/>
          <w:sz w:val="28"/>
          <w:szCs w:val="28"/>
        </w:rPr>
        <w:t>慈善总会捐助20000元。</w:t>
      </w:r>
    </w:p>
    <w:p w14:paraId="5E903A90">
      <w:pPr>
        <w:adjustRightInd w:val="0"/>
        <w:snapToGrid w:val="0"/>
        <w:spacing w:line="580" w:lineRule="exact"/>
        <w:ind w:firstLine="510"/>
        <w:rPr>
          <w:rFonts w:ascii="宋体" w:hAnsi="宋体"/>
          <w:w w:val="90"/>
          <w:sz w:val="28"/>
          <w:szCs w:val="28"/>
        </w:rPr>
      </w:pPr>
      <w:r>
        <w:rPr>
          <w:rFonts w:hint="eastAsia" w:ascii="宋体" w:hAnsi="宋体"/>
          <w:b/>
          <w:w w:val="90"/>
          <w:sz w:val="28"/>
          <w:szCs w:val="28"/>
        </w:rPr>
        <w:t>员工互助活动：</w:t>
      </w:r>
      <w:r>
        <w:rPr>
          <w:rFonts w:hint="eastAsia" w:ascii="宋体" w:hAnsi="宋体"/>
          <w:w w:val="90"/>
          <w:sz w:val="28"/>
          <w:szCs w:val="28"/>
        </w:rPr>
        <w:t>为弘扬中华民族扶危济困、互帮互助的传统美德，充分体现公司以人为本的企业理念，尽心尽力关爱员工和救助社会困难群体的企业文化，公司设立职工医疗互助基金会，成立专项基金用于困难员工的帮扶和资助。公司制定《职工医疗互助基金会章程》、《职工医疗互助基金会救助实施细则》等制度文件对员工互助会组织机构及管理责任、互助基金的管理办法、救助标准等做出了明确规定。</w:t>
      </w:r>
    </w:p>
    <w:p w14:paraId="6D9ABECA">
      <w:pPr>
        <w:adjustRightInd w:val="0"/>
        <w:snapToGrid w:val="0"/>
        <w:spacing w:line="580" w:lineRule="exact"/>
        <w:ind w:firstLine="510"/>
        <w:rPr>
          <w:rFonts w:hint="eastAsia" w:ascii="宋体" w:hAnsi="宋体"/>
          <w:w w:val="90"/>
          <w:sz w:val="28"/>
          <w:szCs w:val="28"/>
        </w:rPr>
      </w:pPr>
      <w:r>
        <w:rPr>
          <w:rFonts w:hint="eastAsia" w:ascii="宋体" w:hAnsi="宋体"/>
          <w:w w:val="90"/>
          <w:sz w:val="28"/>
          <w:szCs w:val="28"/>
        </w:rPr>
        <w:t>运行以来，员工互助会切实为受助员工排忧解难，</w:t>
      </w:r>
      <w:r>
        <w:rPr>
          <w:rFonts w:ascii="宋体" w:hAnsi="宋体"/>
          <w:w w:val="90"/>
          <w:sz w:val="28"/>
          <w:szCs w:val="28"/>
        </w:rPr>
        <w:t>让</w:t>
      </w:r>
      <w:r>
        <w:rPr>
          <w:rFonts w:hint="eastAsia" w:ascii="宋体" w:hAnsi="宋体"/>
          <w:w w:val="90"/>
          <w:sz w:val="28"/>
          <w:szCs w:val="28"/>
        </w:rPr>
        <w:t>他们</w:t>
      </w:r>
      <w:r>
        <w:rPr>
          <w:rFonts w:ascii="宋体" w:hAnsi="宋体"/>
          <w:w w:val="90"/>
          <w:sz w:val="28"/>
          <w:szCs w:val="28"/>
        </w:rPr>
        <w:t>真切感受到了公司的关怀和温暖</w:t>
      </w:r>
      <w:r>
        <w:rPr>
          <w:rFonts w:hint="eastAsia" w:ascii="宋体" w:hAnsi="宋体"/>
          <w:w w:val="90"/>
          <w:sz w:val="28"/>
          <w:szCs w:val="28"/>
        </w:rPr>
        <w:t>，给他们增添了战胜困难的勇气与力量，用家一般的温暖，诠释了“互助友爱”精神的真谛，进一步营造了公司“济贫帮困、奉献爱心”的优良传统和“真诚关爱、相扶相助”的高尚情操。</w:t>
      </w:r>
    </w:p>
    <w:p w14:paraId="3EB616C8">
      <w:pPr>
        <w:pStyle w:val="65"/>
        <w:spacing w:before="100" w:beforeAutospacing="1"/>
        <w:ind w:firstLine="552" w:firstLineChars="218"/>
        <w:rPr>
          <w:rFonts w:hint="eastAsia" w:ascii="宋体" w:hAnsi="宋体"/>
          <w:b/>
          <w:w w:val="90"/>
          <w:sz w:val="28"/>
          <w:szCs w:val="28"/>
        </w:rPr>
      </w:pPr>
      <w:r>
        <w:rPr>
          <w:rFonts w:hint="eastAsia" w:ascii="宋体" w:hAnsi="宋体"/>
          <w:b/>
          <w:w w:val="90"/>
          <w:sz w:val="28"/>
          <w:szCs w:val="28"/>
        </w:rPr>
        <w:t>六、公司与员工双赢发展</w:t>
      </w:r>
    </w:p>
    <w:p w14:paraId="7BFC8779">
      <w:pPr>
        <w:pStyle w:val="65"/>
        <w:ind w:firstLine="503"/>
        <w:rPr>
          <w:rFonts w:ascii="宋体" w:hAnsi="宋体"/>
          <w:b/>
          <w:w w:val="90"/>
          <w:sz w:val="28"/>
          <w:szCs w:val="28"/>
        </w:rPr>
      </w:pPr>
      <w:r>
        <w:rPr>
          <w:rFonts w:hint="eastAsia" w:ascii="宋体" w:hAnsi="宋体"/>
          <w:w w:val="90"/>
          <w:sz w:val="28"/>
          <w:szCs w:val="28"/>
        </w:rPr>
        <w:t>公司注重公司与员工双赢，在公司稳步发展的同时，为员工提供良好的工作环境、适宜的生活条件以及具有竞争性的薪酬福利。如下表：</w:t>
      </w:r>
    </w:p>
    <w:p w14:paraId="4B98B889">
      <w:pPr>
        <w:pStyle w:val="128"/>
        <w:spacing w:before="93" w:after="62"/>
        <w:rPr>
          <w:rFonts w:hint="eastAsia" w:ascii="宋体" w:hAnsi="宋体"/>
          <w:w w:val="90"/>
          <w:sz w:val="28"/>
          <w:szCs w:val="28"/>
        </w:rPr>
      </w:pPr>
      <w:r>
        <w:rPr>
          <w:rFonts w:hint="eastAsia" w:ascii="宋体" w:hAnsi="宋体"/>
          <w:w w:val="90"/>
          <w:sz w:val="28"/>
          <w:szCs w:val="28"/>
        </w:rPr>
        <w:t>员工福利</w:t>
      </w:r>
    </w:p>
    <w:tbl>
      <w:tblPr>
        <w:tblStyle w:val="3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5"/>
        <w:gridCol w:w="1752"/>
        <w:gridCol w:w="1752"/>
        <w:gridCol w:w="1752"/>
      </w:tblGrid>
      <w:tr w14:paraId="5602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5" w:type="dxa"/>
            <w:shd w:val="clear" w:color="auto" w:fill="003399"/>
            <w:noWrap w:val="0"/>
            <w:vAlign w:val="center"/>
          </w:tcPr>
          <w:p w14:paraId="28EAE567">
            <w:pPr>
              <w:pStyle w:val="136"/>
              <w:rPr>
                <w:rFonts w:ascii="宋体" w:hAnsi="宋体"/>
                <w:b/>
                <w:color w:val="FFFFFF"/>
                <w:w w:val="90"/>
              </w:rPr>
            </w:pPr>
            <w:r>
              <w:rPr>
                <w:rFonts w:hint="eastAsia" w:ascii="宋体" w:hAnsi="宋体"/>
                <w:b/>
                <w:color w:val="FFFFFF"/>
                <w:w w:val="90"/>
              </w:rPr>
              <w:t>项  目</w:t>
            </w:r>
          </w:p>
        </w:tc>
        <w:tc>
          <w:tcPr>
            <w:tcW w:w="1752" w:type="dxa"/>
            <w:shd w:val="clear" w:color="auto" w:fill="003399"/>
            <w:noWrap w:val="0"/>
            <w:vAlign w:val="center"/>
          </w:tcPr>
          <w:p w14:paraId="5D5DFFA4">
            <w:pPr>
              <w:pStyle w:val="136"/>
            </w:pPr>
            <w:r>
              <w:rPr>
                <w:rFonts w:hint="eastAsia" w:ascii="宋体" w:hAnsi="宋体"/>
                <w:b/>
                <w:color w:val="FFFFFF"/>
                <w:w w:val="90"/>
              </w:rPr>
              <w:t>2022年</w:t>
            </w:r>
          </w:p>
        </w:tc>
        <w:tc>
          <w:tcPr>
            <w:tcW w:w="1752" w:type="dxa"/>
            <w:shd w:val="clear" w:color="auto" w:fill="003399"/>
            <w:noWrap w:val="0"/>
            <w:vAlign w:val="center"/>
          </w:tcPr>
          <w:p w14:paraId="3397E6FB">
            <w:pPr>
              <w:pStyle w:val="136"/>
            </w:pPr>
            <w:r>
              <w:rPr>
                <w:rFonts w:hint="eastAsia" w:ascii="宋体" w:hAnsi="宋体"/>
                <w:b/>
                <w:color w:val="FFFFFF"/>
                <w:w w:val="90"/>
              </w:rPr>
              <w:t>2023年</w:t>
            </w:r>
          </w:p>
        </w:tc>
        <w:tc>
          <w:tcPr>
            <w:tcW w:w="1752" w:type="dxa"/>
            <w:shd w:val="clear" w:color="auto" w:fill="003399"/>
            <w:noWrap w:val="0"/>
            <w:vAlign w:val="center"/>
          </w:tcPr>
          <w:p w14:paraId="1C067598">
            <w:pPr>
              <w:pStyle w:val="136"/>
              <w:rPr>
                <w:rFonts w:ascii="宋体" w:hAnsi="宋体"/>
                <w:b/>
                <w:color w:val="FFFFFF"/>
                <w:w w:val="90"/>
              </w:rPr>
            </w:pPr>
            <w:r>
              <w:rPr>
                <w:rFonts w:hint="eastAsia" w:ascii="宋体" w:hAnsi="宋体"/>
                <w:b/>
                <w:color w:val="FFFFFF"/>
                <w:w w:val="90"/>
              </w:rPr>
              <w:t>2024年</w:t>
            </w:r>
          </w:p>
        </w:tc>
      </w:tr>
      <w:tr w14:paraId="232A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5" w:type="dxa"/>
            <w:noWrap w:val="0"/>
            <w:vAlign w:val="center"/>
          </w:tcPr>
          <w:p w14:paraId="44D340BC">
            <w:pPr>
              <w:pStyle w:val="146"/>
              <w:rPr>
                <w:rFonts w:hint="eastAsia" w:ascii="宋体" w:hAnsi="宋体" w:eastAsia="宋体"/>
                <w:color w:val="auto"/>
                <w:sz w:val="24"/>
              </w:rPr>
            </w:pPr>
            <w:r>
              <w:rPr>
                <w:rFonts w:hint="eastAsia" w:ascii="宋体" w:hAnsi="宋体" w:eastAsia="宋体"/>
                <w:color w:val="auto"/>
                <w:sz w:val="24"/>
              </w:rPr>
              <w:t>全员劳动生产率（万元/人）</w:t>
            </w:r>
          </w:p>
        </w:tc>
        <w:tc>
          <w:tcPr>
            <w:tcW w:w="1752" w:type="dxa"/>
            <w:noWrap w:val="0"/>
            <w:vAlign w:val="center"/>
          </w:tcPr>
          <w:p w14:paraId="7217751B">
            <w:pPr>
              <w:spacing w:line="240" w:lineRule="auto"/>
              <w:jc w:val="center"/>
              <w:rPr>
                <w:rFonts w:hint="default" w:ascii="宋体" w:hAnsi="宋体" w:eastAsia="宋体" w:cs="宋体"/>
                <w:kern w:val="2"/>
                <w:sz w:val="20"/>
                <w:szCs w:val="20"/>
                <w:lang w:val="en-US" w:eastAsia="zh-CN" w:bidi="ar-SA"/>
              </w:rPr>
            </w:pPr>
            <w:r>
              <w:rPr>
                <w:rFonts w:hint="eastAsia" w:ascii="宋体" w:hAnsi="宋体" w:cs="宋体"/>
                <w:sz w:val="20"/>
                <w:szCs w:val="20"/>
                <w:lang w:val="en-US" w:eastAsia="zh-CN"/>
              </w:rPr>
              <w:t>5.39</w:t>
            </w:r>
          </w:p>
        </w:tc>
        <w:tc>
          <w:tcPr>
            <w:tcW w:w="1752" w:type="dxa"/>
            <w:noWrap w:val="0"/>
            <w:vAlign w:val="center"/>
          </w:tcPr>
          <w:p w14:paraId="378B433C">
            <w:pPr>
              <w:spacing w:line="240" w:lineRule="auto"/>
              <w:jc w:val="center"/>
              <w:rPr>
                <w:rFonts w:hint="default" w:ascii="宋体" w:hAnsi="宋体" w:eastAsia="宋体" w:cs="宋体"/>
                <w:kern w:val="2"/>
                <w:sz w:val="20"/>
                <w:szCs w:val="20"/>
                <w:lang w:val="en-US" w:eastAsia="zh-CN" w:bidi="ar-SA"/>
              </w:rPr>
            </w:pPr>
            <w:r>
              <w:rPr>
                <w:rFonts w:hint="eastAsia" w:ascii="宋体" w:hAnsi="宋体" w:cs="宋体"/>
                <w:sz w:val="20"/>
                <w:szCs w:val="20"/>
                <w:lang w:val="en-US" w:eastAsia="zh-CN"/>
              </w:rPr>
              <w:t>6.47</w:t>
            </w:r>
          </w:p>
        </w:tc>
        <w:tc>
          <w:tcPr>
            <w:tcW w:w="1752" w:type="dxa"/>
            <w:noWrap w:val="0"/>
            <w:vAlign w:val="top"/>
          </w:tcPr>
          <w:p w14:paraId="11E48AD6">
            <w:pPr>
              <w:spacing w:line="240" w:lineRule="auto"/>
              <w:jc w:val="center"/>
              <w:rPr>
                <w:rFonts w:hint="eastAsia" w:ascii="宋体" w:hAnsi="宋体" w:eastAsia="宋体" w:cs="宋体"/>
                <w:kern w:val="2"/>
                <w:sz w:val="20"/>
                <w:szCs w:val="20"/>
                <w:lang w:val="en-US" w:eastAsia="zh-CN" w:bidi="ar-SA"/>
              </w:rPr>
            </w:pPr>
            <w:r>
              <w:rPr>
                <w:rFonts w:hint="eastAsia" w:ascii="宋体" w:hAnsi="宋体" w:cs="宋体"/>
                <w:sz w:val="20"/>
                <w:szCs w:val="20"/>
                <w:lang w:val="en-US" w:eastAsia="zh-CN"/>
              </w:rPr>
              <w:t>5.93</w:t>
            </w:r>
          </w:p>
        </w:tc>
      </w:tr>
      <w:tr w14:paraId="2F8A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5" w:type="dxa"/>
            <w:noWrap w:val="0"/>
            <w:vAlign w:val="top"/>
          </w:tcPr>
          <w:p w14:paraId="56DBC447">
            <w:pPr>
              <w:pStyle w:val="146"/>
              <w:rPr>
                <w:rFonts w:hint="eastAsia" w:ascii="宋体" w:hAnsi="宋体" w:eastAsia="宋体"/>
                <w:color w:val="auto"/>
                <w:sz w:val="24"/>
              </w:rPr>
            </w:pPr>
            <w:r>
              <w:rPr>
                <w:rFonts w:hint="eastAsia" w:ascii="宋体" w:hAnsi="宋体" w:eastAsia="宋体"/>
                <w:color w:val="auto"/>
                <w:sz w:val="24"/>
              </w:rPr>
              <w:t>人均工资增长率（%）</w:t>
            </w:r>
          </w:p>
        </w:tc>
        <w:tc>
          <w:tcPr>
            <w:tcW w:w="1752" w:type="dxa"/>
            <w:noWrap w:val="0"/>
            <w:vAlign w:val="center"/>
          </w:tcPr>
          <w:p w14:paraId="46535143">
            <w:pPr>
              <w:spacing w:line="240" w:lineRule="auto"/>
              <w:jc w:val="center"/>
              <w:rPr>
                <w:rFonts w:hint="default" w:ascii="宋体" w:hAnsi="宋体" w:eastAsia="宋体" w:cs="宋体"/>
                <w:kern w:val="2"/>
                <w:sz w:val="20"/>
                <w:szCs w:val="20"/>
                <w:lang w:val="en-US" w:eastAsia="zh-CN" w:bidi="ar-SA"/>
              </w:rPr>
            </w:pPr>
            <w:r>
              <w:rPr>
                <w:rFonts w:hint="eastAsia" w:ascii="宋体" w:hAnsi="宋体" w:cs="宋体"/>
                <w:sz w:val="20"/>
                <w:szCs w:val="20"/>
                <w:lang w:val="en-US" w:eastAsia="zh-CN"/>
              </w:rPr>
              <w:t>9.76%</w:t>
            </w:r>
          </w:p>
        </w:tc>
        <w:tc>
          <w:tcPr>
            <w:tcW w:w="1752" w:type="dxa"/>
            <w:noWrap w:val="0"/>
            <w:vAlign w:val="center"/>
          </w:tcPr>
          <w:p w14:paraId="6937588B">
            <w:pPr>
              <w:spacing w:line="240" w:lineRule="auto"/>
              <w:jc w:val="center"/>
              <w:rPr>
                <w:rFonts w:hint="default" w:ascii="宋体" w:hAnsi="宋体" w:eastAsia="宋体" w:cs="宋体"/>
                <w:kern w:val="2"/>
                <w:sz w:val="20"/>
                <w:szCs w:val="20"/>
                <w:lang w:val="en-US" w:eastAsia="zh-CN" w:bidi="ar-SA"/>
              </w:rPr>
            </w:pPr>
            <w:r>
              <w:rPr>
                <w:rFonts w:hint="eastAsia" w:ascii="宋体" w:hAnsi="宋体" w:cs="宋体"/>
                <w:sz w:val="20"/>
                <w:szCs w:val="20"/>
                <w:lang w:val="en-US" w:eastAsia="zh-CN"/>
              </w:rPr>
              <w:t>16.69%</w:t>
            </w:r>
          </w:p>
        </w:tc>
        <w:tc>
          <w:tcPr>
            <w:tcW w:w="1752" w:type="dxa"/>
            <w:noWrap w:val="0"/>
            <w:vAlign w:val="top"/>
          </w:tcPr>
          <w:p w14:paraId="5590AE2A">
            <w:pPr>
              <w:spacing w:line="240" w:lineRule="auto"/>
              <w:jc w:val="center"/>
              <w:rPr>
                <w:rFonts w:hint="eastAsia" w:ascii="宋体" w:hAnsi="宋体" w:eastAsia="宋体" w:cs="宋体"/>
                <w:kern w:val="2"/>
                <w:sz w:val="20"/>
                <w:szCs w:val="20"/>
                <w:lang w:val="en-US" w:eastAsia="zh-CN" w:bidi="ar-SA"/>
              </w:rPr>
            </w:pPr>
            <w:r>
              <w:rPr>
                <w:rFonts w:hint="eastAsia" w:ascii="宋体" w:hAnsi="宋体" w:cs="宋体"/>
                <w:sz w:val="20"/>
                <w:szCs w:val="20"/>
                <w:lang w:val="en-US" w:eastAsia="zh-CN"/>
              </w:rPr>
              <w:t>-6.29</w:t>
            </w:r>
          </w:p>
        </w:tc>
      </w:tr>
      <w:tr w14:paraId="7221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5" w:type="dxa"/>
            <w:noWrap w:val="0"/>
            <w:vAlign w:val="top"/>
          </w:tcPr>
          <w:p w14:paraId="02FE81F2">
            <w:pPr>
              <w:pStyle w:val="146"/>
              <w:rPr>
                <w:rFonts w:hint="eastAsia" w:ascii="宋体" w:hAnsi="宋体" w:eastAsia="宋体"/>
                <w:color w:val="auto"/>
                <w:sz w:val="24"/>
              </w:rPr>
            </w:pPr>
            <w:r>
              <w:rPr>
                <w:rFonts w:hint="eastAsia" w:ascii="宋体" w:hAnsi="宋体" w:eastAsia="宋体"/>
                <w:color w:val="auto"/>
                <w:sz w:val="24"/>
              </w:rPr>
              <w:t>员工表彰/奖励人数（人）</w:t>
            </w:r>
          </w:p>
        </w:tc>
        <w:tc>
          <w:tcPr>
            <w:tcW w:w="1752" w:type="dxa"/>
            <w:noWrap w:val="0"/>
            <w:vAlign w:val="center"/>
          </w:tcPr>
          <w:p w14:paraId="57AFAD31">
            <w:pPr>
              <w:pStyle w:val="146"/>
              <w:rPr>
                <w:rFonts w:hint="eastAsia" w:ascii="宋体" w:hAnsi="宋体" w:eastAsia="宋体"/>
                <w:color w:val="auto"/>
                <w:sz w:val="24"/>
              </w:rPr>
            </w:pPr>
            <w:r>
              <w:rPr>
                <w:rFonts w:hint="eastAsia" w:ascii="宋体" w:hAnsi="宋体" w:eastAsia="宋体"/>
                <w:color w:val="auto"/>
                <w:sz w:val="24"/>
              </w:rPr>
              <w:t>16</w:t>
            </w:r>
          </w:p>
        </w:tc>
        <w:tc>
          <w:tcPr>
            <w:tcW w:w="1752" w:type="dxa"/>
            <w:noWrap w:val="0"/>
            <w:vAlign w:val="center"/>
          </w:tcPr>
          <w:p w14:paraId="3B641538">
            <w:pPr>
              <w:pStyle w:val="146"/>
              <w:rPr>
                <w:rFonts w:hint="eastAsia" w:ascii="宋体" w:hAnsi="宋体" w:eastAsia="宋体"/>
                <w:color w:val="auto"/>
                <w:sz w:val="24"/>
              </w:rPr>
            </w:pPr>
            <w:r>
              <w:rPr>
                <w:rFonts w:hint="eastAsia" w:ascii="宋体" w:hAnsi="宋体" w:eastAsia="宋体"/>
                <w:color w:val="auto"/>
                <w:sz w:val="24"/>
              </w:rPr>
              <w:t>18</w:t>
            </w:r>
          </w:p>
        </w:tc>
        <w:tc>
          <w:tcPr>
            <w:tcW w:w="1752" w:type="dxa"/>
            <w:noWrap w:val="0"/>
            <w:vAlign w:val="center"/>
          </w:tcPr>
          <w:p w14:paraId="799D51C7">
            <w:pPr>
              <w:pStyle w:val="146"/>
              <w:rPr>
                <w:rFonts w:hint="eastAsia" w:ascii="宋体" w:hAnsi="宋体" w:eastAsia="宋体"/>
                <w:color w:val="auto"/>
                <w:sz w:val="24"/>
              </w:rPr>
            </w:pPr>
            <w:r>
              <w:rPr>
                <w:rFonts w:hint="eastAsia" w:ascii="宋体" w:hAnsi="宋体" w:eastAsia="宋体"/>
                <w:color w:val="auto"/>
                <w:sz w:val="24"/>
              </w:rPr>
              <w:t>20</w:t>
            </w:r>
          </w:p>
        </w:tc>
      </w:tr>
      <w:tr w14:paraId="4D11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5" w:type="dxa"/>
            <w:noWrap w:val="0"/>
            <w:vAlign w:val="top"/>
          </w:tcPr>
          <w:p w14:paraId="14991625">
            <w:pPr>
              <w:pStyle w:val="146"/>
              <w:rPr>
                <w:rFonts w:hint="eastAsia" w:ascii="宋体" w:hAnsi="宋体" w:eastAsia="宋体"/>
                <w:color w:val="auto"/>
                <w:sz w:val="24"/>
              </w:rPr>
            </w:pPr>
            <w:r>
              <w:rPr>
                <w:rFonts w:hint="eastAsia" w:ascii="宋体" w:hAnsi="宋体" w:eastAsia="宋体"/>
                <w:color w:val="auto"/>
                <w:sz w:val="24"/>
              </w:rPr>
              <w:t>先进管理者（人）</w:t>
            </w:r>
          </w:p>
        </w:tc>
        <w:tc>
          <w:tcPr>
            <w:tcW w:w="1752" w:type="dxa"/>
            <w:noWrap w:val="0"/>
            <w:vAlign w:val="center"/>
          </w:tcPr>
          <w:p w14:paraId="5DA4E95B">
            <w:pPr>
              <w:pStyle w:val="146"/>
              <w:rPr>
                <w:rFonts w:hint="eastAsia" w:ascii="宋体" w:hAnsi="宋体" w:eastAsia="宋体"/>
                <w:color w:val="auto"/>
                <w:sz w:val="24"/>
              </w:rPr>
            </w:pPr>
            <w:r>
              <w:rPr>
                <w:rFonts w:hint="eastAsia" w:ascii="宋体" w:hAnsi="宋体" w:eastAsia="宋体"/>
                <w:color w:val="auto"/>
                <w:sz w:val="24"/>
              </w:rPr>
              <w:t>5</w:t>
            </w:r>
          </w:p>
        </w:tc>
        <w:tc>
          <w:tcPr>
            <w:tcW w:w="1752" w:type="dxa"/>
            <w:noWrap w:val="0"/>
            <w:vAlign w:val="center"/>
          </w:tcPr>
          <w:p w14:paraId="27560C66">
            <w:pPr>
              <w:pStyle w:val="146"/>
              <w:rPr>
                <w:rFonts w:hint="eastAsia" w:ascii="宋体" w:hAnsi="宋体" w:eastAsia="宋体"/>
                <w:color w:val="auto"/>
                <w:sz w:val="24"/>
              </w:rPr>
            </w:pPr>
            <w:r>
              <w:rPr>
                <w:rFonts w:hint="eastAsia" w:ascii="宋体" w:hAnsi="宋体" w:eastAsia="宋体"/>
                <w:color w:val="auto"/>
                <w:sz w:val="24"/>
              </w:rPr>
              <w:t>5</w:t>
            </w:r>
          </w:p>
        </w:tc>
        <w:tc>
          <w:tcPr>
            <w:tcW w:w="1752" w:type="dxa"/>
            <w:noWrap w:val="0"/>
            <w:vAlign w:val="center"/>
          </w:tcPr>
          <w:p w14:paraId="2355D864">
            <w:pPr>
              <w:pStyle w:val="146"/>
              <w:rPr>
                <w:rFonts w:hint="eastAsia" w:ascii="宋体" w:hAnsi="宋体" w:eastAsia="宋体"/>
                <w:color w:val="auto"/>
                <w:sz w:val="24"/>
              </w:rPr>
            </w:pPr>
            <w:r>
              <w:rPr>
                <w:rFonts w:hint="eastAsia" w:ascii="宋体" w:hAnsi="宋体" w:eastAsia="宋体"/>
                <w:color w:val="auto"/>
                <w:sz w:val="24"/>
              </w:rPr>
              <w:t>5</w:t>
            </w:r>
          </w:p>
        </w:tc>
      </w:tr>
      <w:tr w14:paraId="5FB2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5" w:type="dxa"/>
            <w:noWrap w:val="0"/>
            <w:vAlign w:val="top"/>
          </w:tcPr>
          <w:p w14:paraId="363759EA">
            <w:pPr>
              <w:pStyle w:val="146"/>
              <w:rPr>
                <w:rFonts w:hint="eastAsia" w:ascii="宋体" w:hAnsi="宋体" w:eastAsia="宋体"/>
                <w:color w:val="auto"/>
                <w:sz w:val="24"/>
              </w:rPr>
            </w:pPr>
            <w:r>
              <w:rPr>
                <w:rFonts w:hint="eastAsia" w:ascii="宋体" w:hAnsi="宋体" w:eastAsia="宋体"/>
                <w:color w:val="auto"/>
                <w:sz w:val="24"/>
              </w:rPr>
              <w:t>优秀员工（人）</w:t>
            </w:r>
          </w:p>
        </w:tc>
        <w:tc>
          <w:tcPr>
            <w:tcW w:w="1752" w:type="dxa"/>
            <w:noWrap w:val="0"/>
            <w:vAlign w:val="center"/>
          </w:tcPr>
          <w:p w14:paraId="3A02EE29">
            <w:pPr>
              <w:pStyle w:val="146"/>
              <w:rPr>
                <w:rFonts w:hint="eastAsia" w:ascii="宋体" w:hAnsi="宋体" w:eastAsia="宋体"/>
                <w:color w:val="auto"/>
                <w:sz w:val="24"/>
              </w:rPr>
            </w:pPr>
            <w:r>
              <w:rPr>
                <w:rFonts w:hint="eastAsia" w:ascii="宋体" w:hAnsi="宋体" w:eastAsia="宋体"/>
                <w:color w:val="auto"/>
                <w:sz w:val="24"/>
              </w:rPr>
              <w:t>5</w:t>
            </w:r>
          </w:p>
        </w:tc>
        <w:tc>
          <w:tcPr>
            <w:tcW w:w="1752" w:type="dxa"/>
            <w:noWrap w:val="0"/>
            <w:vAlign w:val="center"/>
          </w:tcPr>
          <w:p w14:paraId="54538A6B">
            <w:pPr>
              <w:pStyle w:val="146"/>
              <w:rPr>
                <w:rFonts w:hint="eastAsia" w:ascii="宋体" w:hAnsi="宋体" w:eastAsia="宋体"/>
                <w:color w:val="auto"/>
                <w:sz w:val="24"/>
              </w:rPr>
            </w:pPr>
            <w:r>
              <w:rPr>
                <w:rFonts w:hint="eastAsia" w:ascii="宋体" w:hAnsi="宋体" w:eastAsia="宋体"/>
                <w:color w:val="auto"/>
                <w:sz w:val="24"/>
              </w:rPr>
              <w:t>5</w:t>
            </w:r>
          </w:p>
        </w:tc>
        <w:tc>
          <w:tcPr>
            <w:tcW w:w="1752" w:type="dxa"/>
            <w:noWrap w:val="0"/>
            <w:vAlign w:val="center"/>
          </w:tcPr>
          <w:p w14:paraId="724EA698">
            <w:pPr>
              <w:pStyle w:val="146"/>
              <w:rPr>
                <w:rFonts w:hint="eastAsia" w:ascii="宋体" w:hAnsi="宋体" w:eastAsia="宋体"/>
                <w:color w:val="auto"/>
                <w:sz w:val="24"/>
              </w:rPr>
            </w:pPr>
            <w:r>
              <w:rPr>
                <w:rFonts w:hint="eastAsia" w:ascii="宋体" w:hAnsi="宋体" w:eastAsia="宋体"/>
                <w:color w:val="auto"/>
                <w:sz w:val="24"/>
              </w:rPr>
              <w:t>5</w:t>
            </w:r>
          </w:p>
        </w:tc>
      </w:tr>
      <w:tr w14:paraId="79089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5" w:type="dxa"/>
            <w:noWrap w:val="0"/>
            <w:vAlign w:val="center"/>
          </w:tcPr>
          <w:p w14:paraId="2395F2B8">
            <w:pPr>
              <w:pStyle w:val="146"/>
              <w:rPr>
                <w:rFonts w:hint="eastAsia" w:ascii="宋体" w:hAnsi="宋体" w:eastAsia="宋体"/>
                <w:color w:val="auto"/>
                <w:sz w:val="24"/>
              </w:rPr>
            </w:pPr>
            <w:r>
              <w:rPr>
                <w:rFonts w:hint="eastAsia" w:ascii="宋体" w:hAnsi="宋体" w:eastAsia="宋体"/>
                <w:color w:val="auto"/>
                <w:sz w:val="24"/>
              </w:rPr>
              <w:t>人均培训学时（小时/年•人）</w:t>
            </w:r>
          </w:p>
        </w:tc>
        <w:tc>
          <w:tcPr>
            <w:tcW w:w="1752" w:type="dxa"/>
            <w:noWrap w:val="0"/>
            <w:vAlign w:val="top"/>
          </w:tcPr>
          <w:p w14:paraId="23D9B1E8">
            <w:pPr>
              <w:jc w:val="center"/>
              <w:rPr>
                <w:rFonts w:hint="eastAsia" w:ascii="宋体" w:hAnsi="宋体"/>
                <w:kern w:val="0"/>
                <w:sz w:val="24"/>
              </w:rPr>
            </w:pPr>
            <w:r>
              <w:rPr>
                <w:rFonts w:hint="eastAsia" w:ascii="宋体" w:hAnsi="宋体"/>
                <w:kern w:val="0"/>
                <w:sz w:val="24"/>
              </w:rPr>
              <w:t>19.3</w:t>
            </w:r>
          </w:p>
        </w:tc>
        <w:tc>
          <w:tcPr>
            <w:tcW w:w="1752" w:type="dxa"/>
            <w:noWrap w:val="0"/>
            <w:vAlign w:val="top"/>
          </w:tcPr>
          <w:p w14:paraId="5BAA24E9">
            <w:pPr>
              <w:jc w:val="center"/>
              <w:rPr>
                <w:rFonts w:hint="eastAsia" w:ascii="宋体" w:hAnsi="宋体"/>
                <w:kern w:val="0"/>
                <w:sz w:val="24"/>
              </w:rPr>
            </w:pPr>
            <w:r>
              <w:rPr>
                <w:rFonts w:hint="eastAsia" w:ascii="宋体" w:hAnsi="宋体"/>
                <w:kern w:val="0"/>
                <w:sz w:val="24"/>
              </w:rPr>
              <w:t>19.5</w:t>
            </w:r>
          </w:p>
        </w:tc>
        <w:tc>
          <w:tcPr>
            <w:tcW w:w="1752" w:type="dxa"/>
            <w:noWrap w:val="0"/>
            <w:vAlign w:val="top"/>
          </w:tcPr>
          <w:p w14:paraId="7A2B155E">
            <w:pPr>
              <w:jc w:val="center"/>
              <w:rPr>
                <w:rFonts w:hint="eastAsia" w:ascii="宋体" w:hAnsi="宋体"/>
                <w:kern w:val="0"/>
                <w:sz w:val="24"/>
              </w:rPr>
            </w:pPr>
            <w:r>
              <w:rPr>
                <w:rFonts w:hint="eastAsia" w:ascii="宋体" w:hAnsi="宋体"/>
                <w:kern w:val="0"/>
                <w:sz w:val="24"/>
              </w:rPr>
              <w:t>20.3</w:t>
            </w:r>
          </w:p>
        </w:tc>
      </w:tr>
      <w:tr w14:paraId="2FBC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5" w:type="dxa"/>
            <w:noWrap w:val="0"/>
            <w:vAlign w:val="center"/>
          </w:tcPr>
          <w:p w14:paraId="58EE1C6A">
            <w:pPr>
              <w:pStyle w:val="146"/>
              <w:rPr>
                <w:rFonts w:hint="eastAsia" w:ascii="宋体" w:hAnsi="宋体" w:eastAsia="宋体"/>
                <w:color w:val="auto"/>
                <w:sz w:val="24"/>
              </w:rPr>
            </w:pPr>
            <w:r>
              <w:rPr>
                <w:rFonts w:hint="eastAsia" w:ascii="宋体" w:hAnsi="宋体" w:eastAsia="宋体"/>
                <w:color w:val="auto"/>
                <w:sz w:val="24"/>
              </w:rPr>
              <w:t>员工培训满意度（%）</w:t>
            </w:r>
          </w:p>
        </w:tc>
        <w:tc>
          <w:tcPr>
            <w:tcW w:w="1752" w:type="dxa"/>
            <w:noWrap w:val="0"/>
            <w:vAlign w:val="top"/>
          </w:tcPr>
          <w:p w14:paraId="29D2AA60">
            <w:pPr>
              <w:jc w:val="center"/>
              <w:rPr>
                <w:rFonts w:hint="eastAsia" w:ascii="宋体" w:hAnsi="宋体"/>
                <w:kern w:val="0"/>
                <w:sz w:val="24"/>
              </w:rPr>
            </w:pPr>
            <w:r>
              <w:rPr>
                <w:rFonts w:hint="eastAsia" w:ascii="宋体" w:hAnsi="宋体"/>
                <w:kern w:val="0"/>
                <w:sz w:val="24"/>
              </w:rPr>
              <w:t>89.12%</w:t>
            </w:r>
          </w:p>
        </w:tc>
        <w:tc>
          <w:tcPr>
            <w:tcW w:w="1752" w:type="dxa"/>
            <w:noWrap w:val="0"/>
            <w:vAlign w:val="top"/>
          </w:tcPr>
          <w:p w14:paraId="7EFC931B">
            <w:pPr>
              <w:jc w:val="center"/>
              <w:rPr>
                <w:rFonts w:hint="eastAsia" w:ascii="宋体" w:hAnsi="宋体"/>
                <w:kern w:val="0"/>
                <w:sz w:val="24"/>
              </w:rPr>
            </w:pPr>
            <w:r>
              <w:rPr>
                <w:rFonts w:hint="eastAsia" w:ascii="宋体" w:hAnsi="宋体"/>
                <w:kern w:val="0"/>
                <w:sz w:val="24"/>
              </w:rPr>
              <w:t>90.45%</w:t>
            </w:r>
          </w:p>
        </w:tc>
        <w:tc>
          <w:tcPr>
            <w:tcW w:w="1752" w:type="dxa"/>
            <w:noWrap w:val="0"/>
            <w:vAlign w:val="top"/>
          </w:tcPr>
          <w:p w14:paraId="0666DA00">
            <w:pPr>
              <w:jc w:val="center"/>
              <w:rPr>
                <w:rFonts w:hint="eastAsia" w:ascii="宋体" w:hAnsi="宋体"/>
                <w:kern w:val="0"/>
                <w:sz w:val="24"/>
              </w:rPr>
            </w:pPr>
            <w:r>
              <w:rPr>
                <w:rFonts w:hint="eastAsia" w:ascii="宋体" w:hAnsi="宋体"/>
                <w:kern w:val="0"/>
                <w:sz w:val="24"/>
              </w:rPr>
              <w:t>91.21%</w:t>
            </w:r>
          </w:p>
        </w:tc>
      </w:tr>
    </w:tbl>
    <w:p w14:paraId="2F640C16">
      <w:pPr>
        <w:pStyle w:val="65"/>
        <w:ind w:firstLine="410" w:firstLineChars="171"/>
        <w:rPr>
          <w:rFonts w:hint="eastAsia" w:ascii="宋体" w:hAnsi="宋体" w:eastAsia="宋体" w:cs="Times New Roman"/>
          <w:color w:val="auto"/>
          <w:kern w:val="0"/>
        </w:rPr>
      </w:pPr>
      <w:r>
        <w:rPr>
          <w:rFonts w:hint="eastAsia" w:ascii="宋体" w:hAnsi="宋体" w:eastAsia="宋体" w:cs="Times New Roman"/>
          <w:color w:val="auto"/>
          <w:kern w:val="0"/>
        </w:rPr>
        <w:t>公司在日常运作过程中，非常注重员工抱怨状况，出现员工抱怨，及时协调相关部门了解情况并尽快</w:t>
      </w:r>
      <w:r>
        <w:rPr>
          <w:rFonts w:hint="eastAsia" w:ascii="宋体" w:hAnsi="宋体" w:eastAsia="宋体" w:cs="Times New Roman"/>
          <w:color w:val="auto"/>
          <w:kern w:val="0"/>
          <w:lang w:val="en-US" w:eastAsia="zh-CN"/>
        </w:rPr>
        <w:t xml:space="preserve">   </w:t>
      </w:r>
      <w:r>
        <w:rPr>
          <w:rFonts w:hint="eastAsia" w:ascii="宋体" w:hAnsi="宋体" w:eastAsia="宋体" w:cs="Times New Roman"/>
          <w:color w:val="auto"/>
          <w:kern w:val="0"/>
        </w:rPr>
        <w:t>处理，以消除员工的不满意程度，全身心地投入工作过程中，快乐学习，快乐工作，快乐生活。</w:t>
      </w:r>
    </w:p>
    <w:p w14:paraId="0F3C5DB3">
      <w:pPr>
        <w:pStyle w:val="65"/>
        <w:ind w:firstLine="410" w:firstLineChars="171"/>
        <w:rPr>
          <w:rFonts w:hint="eastAsia" w:ascii="宋体" w:hAnsi="宋体" w:eastAsia="宋体" w:cs="Times New Roman"/>
          <w:color w:val="auto"/>
          <w:kern w:val="0"/>
        </w:rPr>
      </w:pPr>
      <w:r>
        <w:rPr>
          <w:rFonts w:hint="eastAsia" w:ascii="宋体" w:hAnsi="宋体" w:eastAsia="宋体" w:cs="Times New Roman"/>
          <w:color w:val="auto"/>
          <w:kern w:val="0"/>
        </w:rPr>
        <w:t>另外，公司每年做一次全体的员工满意度调查，统计分析后形成报告，针对性做改进。该工作逐年持续，取得了良好的成效，员工满意度逐年提升。</w:t>
      </w:r>
    </w:p>
    <w:p w14:paraId="5567C419">
      <w:pPr>
        <w:pStyle w:val="65"/>
        <w:ind w:firstLine="410" w:firstLineChars="171"/>
        <w:rPr>
          <w:rFonts w:hint="eastAsia" w:ascii="宋体" w:hAnsi="宋体"/>
          <w:color w:val="auto"/>
          <w:kern w:val="0"/>
        </w:rPr>
      </w:pPr>
      <w:r>
        <w:rPr>
          <w:rFonts w:hint="eastAsia" w:ascii="宋体" w:hAnsi="宋体" w:eastAsia="宋体" w:cs="Times New Roman"/>
          <w:color w:val="auto"/>
          <w:kern w:val="0"/>
        </w:rPr>
        <w:t>总而言之，社会</w:t>
      </w:r>
      <w:r>
        <w:rPr>
          <w:rFonts w:hint="eastAsia" w:ascii="宋体" w:hAnsi="宋体"/>
          <w:color w:val="auto"/>
          <w:kern w:val="0"/>
        </w:rPr>
        <w:t>责任是</w:t>
      </w:r>
      <w:r>
        <w:rPr>
          <w:rFonts w:hint="eastAsia" w:ascii="宋体" w:hAnsi="宋体"/>
          <w:color w:val="auto"/>
          <w:kern w:val="0"/>
          <w:lang w:eastAsia="zh-CN"/>
        </w:rPr>
        <w:t>开开电缆</w:t>
      </w:r>
      <w:r>
        <w:rPr>
          <w:rFonts w:hint="eastAsia" w:ascii="宋体" w:hAnsi="宋体"/>
          <w:color w:val="auto"/>
          <w:kern w:val="0"/>
        </w:rPr>
        <w:t>电缆的应尽的责任，是回报社会的最好方法，我们将自始至终努力实现。</w:t>
      </w:r>
    </w:p>
    <w:p w14:paraId="2EBCFF3F">
      <w:pPr>
        <w:pStyle w:val="65"/>
        <w:ind w:firstLine="410" w:firstLineChars="171"/>
        <w:rPr>
          <w:rFonts w:hint="eastAsia" w:ascii="宋体" w:hAnsi="宋体"/>
          <w:color w:val="auto"/>
          <w:kern w:val="0"/>
        </w:rPr>
      </w:pPr>
    </w:p>
    <w:p w14:paraId="41E83819">
      <w:pPr>
        <w:spacing w:line="500" w:lineRule="exact"/>
        <w:jc w:val="right"/>
        <w:rPr>
          <w:rFonts w:ascii="宋体" w:hAnsi="宋体"/>
          <w:b/>
          <w:bCs/>
          <w:kern w:val="0"/>
          <w:sz w:val="28"/>
          <w:szCs w:val="28"/>
        </w:rPr>
      </w:pPr>
    </w:p>
    <w:p w14:paraId="5B11E924">
      <w:pPr>
        <w:spacing w:line="500" w:lineRule="exact"/>
        <w:jc w:val="both"/>
        <w:rPr>
          <w:rFonts w:hint="eastAsia" w:ascii="宋体" w:hAnsi="宋体" w:eastAsia="宋体"/>
          <w:b/>
          <w:bCs/>
          <w:kern w:val="0"/>
          <w:sz w:val="28"/>
          <w:szCs w:val="28"/>
          <w:lang w:eastAsia="zh-CN"/>
        </w:rPr>
      </w:pPr>
      <w:r>
        <w:rPr>
          <w:rFonts w:hint="eastAsia" w:ascii="宋体" w:hAnsi="宋体"/>
          <w:b/>
          <w:bCs/>
          <w:kern w:val="0"/>
          <w:sz w:val="28"/>
          <w:szCs w:val="28"/>
          <w:lang w:eastAsia="zh-CN"/>
        </w:rPr>
        <w:t>　　　　　　　　　　　　　　　　　　　　　</w:t>
      </w:r>
      <w:bookmarkStart w:id="2" w:name="_GoBack"/>
      <w:bookmarkEnd w:id="2"/>
      <w:r>
        <w:rPr>
          <w:rFonts w:hint="eastAsia" w:ascii="宋体" w:hAnsi="宋体"/>
          <w:b/>
          <w:bCs/>
          <w:kern w:val="0"/>
          <w:sz w:val="28"/>
          <w:szCs w:val="28"/>
          <w:lang w:eastAsia="zh-CN"/>
        </w:rPr>
        <w:t>开开电缆科技有限公司</w:t>
      </w:r>
    </w:p>
    <w:p w14:paraId="1EFCEE9D">
      <w:pPr>
        <w:tabs>
          <w:tab w:val="left" w:pos="6603"/>
          <w:tab w:val="right" w:pos="7558"/>
        </w:tabs>
        <w:spacing w:line="500" w:lineRule="exact"/>
        <w:ind w:firstLine="6465" w:firstLineChars="2300"/>
        <w:jc w:val="left"/>
        <w:rPr>
          <w:rFonts w:hint="eastAsia" w:ascii="宋体" w:hAnsi="宋体"/>
          <w:b/>
          <w:bCs/>
          <w:kern w:val="0"/>
          <w:sz w:val="28"/>
          <w:szCs w:val="28"/>
        </w:rPr>
      </w:pPr>
      <w:r>
        <w:rPr>
          <w:rFonts w:hint="eastAsia" w:ascii="宋体" w:hAnsi="宋体"/>
          <w:b/>
          <w:bCs/>
          <w:kern w:val="0"/>
          <w:sz w:val="28"/>
          <w:szCs w:val="28"/>
        </w:rPr>
        <w:t xml:space="preserve"> 2025年3月8日</w:t>
      </w:r>
    </w:p>
    <w:sectPr>
      <w:headerReference r:id="rId5" w:type="default"/>
      <w:pgSz w:w="11906" w:h="16838"/>
      <w:pgMar w:top="754" w:right="1474" w:bottom="1247" w:left="1474" w:header="850"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aramond">
    <w:altName w:val="Segoe Print"/>
    <w:panose1 w:val="02020404030301010803"/>
    <w:charset w:val="00"/>
    <w:family w:val="roman"/>
    <w:pitch w:val="default"/>
    <w:sig w:usb0="00000000" w:usb1="00000000" w:usb2="00000000" w:usb3="00000000" w:csb0="0000009F" w:csb1="DFD7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Roman 10cpi">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603F01FF" w:csb1="FFFF0000"/>
  </w:font>
  <w:font w:name="Malgun Gothic Semilight">
    <w:panose1 w:val="020B0502040204020203"/>
    <w:charset w:val="86"/>
    <w:family w:val="auto"/>
    <w:pitch w:val="default"/>
    <w:sig w:usb0="900002AF" w:usb1="01D77CFB" w:usb2="00000012" w:usb3="00000000" w:csb0="203E01BD" w:csb1="D7FF0000"/>
  </w:font>
  <w:font w:name="Tahoma">
    <w:panose1 w:val="020B0604030504040204"/>
    <w:charset w:val="00"/>
    <w:family w:val="swiss"/>
    <w:pitch w:val="default"/>
    <w:sig w:usb0="E1002EFF" w:usb1="C000605B" w:usb2="00000029" w:usb3="00000000" w:csb0="200101FF" w:csb1="2028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8B8DB">
    <w:pPr>
      <w:pStyle w:val="20"/>
      <w:ind w:firstLine="212"/>
      <w:jc w:val="center"/>
    </w:pPr>
    <w:r>
      <w:fldChar w:fldCharType="begin"/>
    </w:r>
    <w:r>
      <w:instrText xml:space="preserve"> PAGE   \* MERGEFORMAT </w:instrText>
    </w:r>
    <w:r>
      <w:fldChar w:fldCharType="separate"/>
    </w:r>
    <w:r>
      <w:rPr>
        <w:lang w:val="zh-CN"/>
      </w:rPr>
      <w:t>1</w:t>
    </w:r>
    <w:r>
      <w:fldChar w:fldCharType="end"/>
    </w:r>
  </w:p>
  <w:p w14:paraId="487514C8">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F7802">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0A2D2">
    <w:pPr>
      <w:pStyle w:val="21"/>
      <w:jc w:val="left"/>
    </w:pPr>
    <w:r>
      <w:object>
        <v:shape id="_x0000_i1026" o:spt="75" type="#_x0000_t75" style="height:24.9pt;width:57pt;" o:ole="t" filled="f" o:preferrelative="t" stroked="f" coordsize="21600,21600">
          <v:path/>
          <v:fill on="f" focussize="0,0"/>
          <v:stroke on="f"/>
          <v:imagedata r:id="rId2" o:title=""/>
          <o:lock v:ext="edit" aspectratio="t"/>
          <w10:wrap type="none"/>
          <w10:anchorlock/>
        </v:shape>
        <o:OLEObject Type="Embed" ProgID="" ShapeID="_x0000_i1026" DrawAspect="Content" ObjectID="_1468075725" r:id="rId1">
          <o:LockedField>false</o:LockedField>
        </o:OLEObject>
      </w:object>
    </w:r>
    <w:r>
      <w:rPr>
        <w:rFonts w:hint="eastAsia"/>
        <w:b/>
        <w:sz w:val="24"/>
        <w:szCs w:val="24"/>
      </w:rPr>
      <w:t>2024年度社会责任报告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multilevel"/>
    <w:tmpl w:val="0000000C"/>
    <w:lvl w:ilvl="0" w:tentative="0">
      <w:start w:val="1"/>
      <w:numFmt w:val="bullet"/>
      <w:lvlText w:val=""/>
      <w:lvlJc w:val="left"/>
      <w:pPr>
        <w:ind w:left="892" w:hanging="420"/>
      </w:pPr>
      <w:rPr>
        <w:rFonts w:hint="default" w:ascii="Wingdings" w:hAnsi="Wingdings"/>
        <w:sz w:val="24"/>
      </w:rPr>
    </w:lvl>
    <w:lvl w:ilvl="1" w:tentative="0">
      <w:start w:val="1"/>
      <w:numFmt w:val="bullet"/>
      <w:lvlText w:val=""/>
      <w:lvlJc w:val="left"/>
      <w:pPr>
        <w:ind w:left="1312" w:hanging="420"/>
      </w:pPr>
      <w:rPr>
        <w:rFonts w:hint="default" w:ascii="Wingdings" w:hAnsi="Wingdings"/>
      </w:rPr>
    </w:lvl>
    <w:lvl w:ilvl="2" w:tentative="0">
      <w:start w:val="1"/>
      <w:numFmt w:val="bullet"/>
      <w:lvlText w:val=""/>
      <w:lvlJc w:val="left"/>
      <w:pPr>
        <w:ind w:left="1732" w:hanging="420"/>
      </w:pPr>
      <w:rPr>
        <w:rFonts w:hint="default" w:ascii="Wingdings" w:hAnsi="Wingdings"/>
      </w:rPr>
    </w:lvl>
    <w:lvl w:ilvl="3" w:tentative="0">
      <w:start w:val="1"/>
      <w:numFmt w:val="bullet"/>
      <w:lvlText w:val=""/>
      <w:lvlJc w:val="left"/>
      <w:pPr>
        <w:ind w:left="2152" w:hanging="420"/>
      </w:pPr>
      <w:rPr>
        <w:rFonts w:hint="default" w:ascii="Wingdings" w:hAnsi="Wingdings"/>
      </w:rPr>
    </w:lvl>
    <w:lvl w:ilvl="4" w:tentative="0">
      <w:start w:val="1"/>
      <w:numFmt w:val="bullet"/>
      <w:lvlText w:val=""/>
      <w:lvlJc w:val="left"/>
      <w:pPr>
        <w:ind w:left="2572" w:hanging="420"/>
      </w:pPr>
      <w:rPr>
        <w:rFonts w:hint="default" w:ascii="Wingdings" w:hAnsi="Wingdings"/>
      </w:rPr>
    </w:lvl>
    <w:lvl w:ilvl="5" w:tentative="0">
      <w:start w:val="1"/>
      <w:numFmt w:val="bullet"/>
      <w:lvlText w:val=""/>
      <w:lvlJc w:val="left"/>
      <w:pPr>
        <w:ind w:left="2992" w:hanging="420"/>
      </w:pPr>
      <w:rPr>
        <w:rFonts w:hint="default" w:ascii="Wingdings" w:hAnsi="Wingdings"/>
      </w:rPr>
    </w:lvl>
    <w:lvl w:ilvl="6" w:tentative="0">
      <w:start w:val="1"/>
      <w:numFmt w:val="bullet"/>
      <w:lvlText w:val=""/>
      <w:lvlJc w:val="left"/>
      <w:pPr>
        <w:ind w:left="3412" w:hanging="420"/>
      </w:pPr>
      <w:rPr>
        <w:rFonts w:hint="default" w:ascii="Wingdings" w:hAnsi="Wingdings"/>
      </w:rPr>
    </w:lvl>
    <w:lvl w:ilvl="7" w:tentative="0">
      <w:start w:val="1"/>
      <w:numFmt w:val="bullet"/>
      <w:lvlText w:val=""/>
      <w:lvlJc w:val="left"/>
      <w:pPr>
        <w:ind w:left="3832" w:hanging="420"/>
      </w:pPr>
      <w:rPr>
        <w:rFonts w:hint="default" w:ascii="Wingdings" w:hAnsi="Wingdings"/>
      </w:rPr>
    </w:lvl>
    <w:lvl w:ilvl="8" w:tentative="0">
      <w:start w:val="1"/>
      <w:numFmt w:val="bullet"/>
      <w:lvlText w:val=""/>
      <w:lvlJc w:val="left"/>
      <w:pPr>
        <w:ind w:left="4252" w:hanging="420"/>
      </w:pPr>
      <w:rPr>
        <w:rFonts w:hint="default" w:ascii="Wingdings" w:hAnsi="Wingdings"/>
      </w:rPr>
    </w:lvl>
  </w:abstractNum>
  <w:abstractNum w:abstractNumId="1">
    <w:nsid w:val="056A59C6"/>
    <w:multiLevelType w:val="multilevel"/>
    <w:tmpl w:val="056A59C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5377350"/>
    <w:multiLevelType w:val="multilevel"/>
    <w:tmpl w:val="55377350"/>
    <w:lvl w:ilvl="0" w:tentative="0">
      <w:start w:val="1"/>
      <w:numFmt w:val="bullet"/>
      <w:lvlText w:val=""/>
      <w:lvlJc w:val="left"/>
      <w:pPr>
        <w:ind w:left="842" w:hanging="420"/>
      </w:pPr>
      <w:rPr>
        <w:rFonts w:hint="default" w:ascii="Wingdings" w:hAnsi="Wingdings"/>
      </w:rPr>
    </w:lvl>
    <w:lvl w:ilvl="1" w:tentative="0">
      <w:start w:val="1"/>
      <w:numFmt w:val="bullet"/>
      <w:lvlText w:val=""/>
      <w:lvlJc w:val="left"/>
      <w:pPr>
        <w:ind w:left="1262" w:hanging="420"/>
      </w:pPr>
      <w:rPr>
        <w:rFonts w:hint="default" w:ascii="Wingdings" w:hAnsi="Wingdings"/>
      </w:rPr>
    </w:lvl>
    <w:lvl w:ilvl="2" w:tentative="0">
      <w:start w:val="1"/>
      <w:numFmt w:val="bullet"/>
      <w:lvlText w:val=""/>
      <w:lvlJc w:val="left"/>
      <w:pPr>
        <w:ind w:left="1682" w:hanging="420"/>
      </w:pPr>
      <w:rPr>
        <w:rFonts w:hint="default" w:ascii="Wingdings" w:hAnsi="Wingdings"/>
      </w:rPr>
    </w:lvl>
    <w:lvl w:ilvl="3" w:tentative="0">
      <w:start w:val="1"/>
      <w:numFmt w:val="bullet"/>
      <w:lvlText w:val=""/>
      <w:lvlJc w:val="left"/>
      <w:pPr>
        <w:ind w:left="2102" w:hanging="420"/>
      </w:pPr>
      <w:rPr>
        <w:rFonts w:hint="default" w:ascii="Wingdings" w:hAnsi="Wingdings"/>
      </w:rPr>
    </w:lvl>
    <w:lvl w:ilvl="4" w:tentative="0">
      <w:start w:val="1"/>
      <w:numFmt w:val="bullet"/>
      <w:lvlText w:val=""/>
      <w:lvlJc w:val="left"/>
      <w:pPr>
        <w:ind w:left="2522" w:hanging="420"/>
      </w:pPr>
      <w:rPr>
        <w:rFonts w:hint="default" w:ascii="Wingdings" w:hAnsi="Wingdings"/>
      </w:rPr>
    </w:lvl>
    <w:lvl w:ilvl="5" w:tentative="0">
      <w:start w:val="1"/>
      <w:numFmt w:val="bullet"/>
      <w:lvlText w:val=""/>
      <w:lvlJc w:val="left"/>
      <w:pPr>
        <w:ind w:left="2942" w:hanging="420"/>
      </w:pPr>
      <w:rPr>
        <w:rFonts w:hint="default" w:ascii="Wingdings" w:hAnsi="Wingdings"/>
      </w:rPr>
    </w:lvl>
    <w:lvl w:ilvl="6" w:tentative="0">
      <w:start w:val="1"/>
      <w:numFmt w:val="bullet"/>
      <w:lvlText w:val=""/>
      <w:lvlJc w:val="left"/>
      <w:pPr>
        <w:ind w:left="3362" w:hanging="420"/>
      </w:pPr>
      <w:rPr>
        <w:rFonts w:hint="default" w:ascii="Wingdings" w:hAnsi="Wingdings"/>
      </w:rPr>
    </w:lvl>
    <w:lvl w:ilvl="7" w:tentative="0">
      <w:start w:val="1"/>
      <w:numFmt w:val="bullet"/>
      <w:lvlText w:val=""/>
      <w:lvlJc w:val="left"/>
      <w:pPr>
        <w:ind w:left="3782" w:hanging="420"/>
      </w:pPr>
      <w:rPr>
        <w:rFonts w:hint="default" w:ascii="Wingdings" w:hAnsi="Wingdings"/>
      </w:rPr>
    </w:lvl>
    <w:lvl w:ilvl="8" w:tentative="0">
      <w:start w:val="1"/>
      <w:numFmt w:val="bullet"/>
      <w:lvlText w:val=""/>
      <w:lvlJc w:val="left"/>
      <w:pPr>
        <w:ind w:left="4202" w:hanging="420"/>
      </w:pPr>
      <w:rPr>
        <w:rFonts w:hint="default" w:ascii="Wingdings" w:hAnsi="Wingdings"/>
      </w:rPr>
    </w:lvl>
  </w:abstractNum>
  <w:abstractNum w:abstractNumId="3">
    <w:nsid w:val="72FE42B9"/>
    <w:multiLevelType w:val="multilevel"/>
    <w:tmpl w:val="72FE42B9"/>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C9A"/>
    <w:rsid w:val="00010F8E"/>
    <w:rsid w:val="00011E03"/>
    <w:rsid w:val="00035874"/>
    <w:rsid w:val="00043A91"/>
    <w:rsid w:val="0005127A"/>
    <w:rsid w:val="00066C4B"/>
    <w:rsid w:val="00073F0F"/>
    <w:rsid w:val="000A1E3B"/>
    <w:rsid w:val="000C1DB5"/>
    <w:rsid w:val="000E05D8"/>
    <w:rsid w:val="000F4679"/>
    <w:rsid w:val="000F5AB2"/>
    <w:rsid w:val="00102A9B"/>
    <w:rsid w:val="00110F2D"/>
    <w:rsid w:val="001132E2"/>
    <w:rsid w:val="001175B2"/>
    <w:rsid w:val="0013217D"/>
    <w:rsid w:val="001406EC"/>
    <w:rsid w:val="0015313B"/>
    <w:rsid w:val="0015354E"/>
    <w:rsid w:val="00160DAB"/>
    <w:rsid w:val="00163969"/>
    <w:rsid w:val="00171A72"/>
    <w:rsid w:val="00174958"/>
    <w:rsid w:val="0018036E"/>
    <w:rsid w:val="00193847"/>
    <w:rsid w:val="00193AFA"/>
    <w:rsid w:val="00195C78"/>
    <w:rsid w:val="00197230"/>
    <w:rsid w:val="001A60F9"/>
    <w:rsid w:val="001B289F"/>
    <w:rsid w:val="001B44BE"/>
    <w:rsid w:val="001F5578"/>
    <w:rsid w:val="00207F8F"/>
    <w:rsid w:val="0021397F"/>
    <w:rsid w:val="002354F2"/>
    <w:rsid w:val="00243E2E"/>
    <w:rsid w:val="00256623"/>
    <w:rsid w:val="0027686A"/>
    <w:rsid w:val="00286806"/>
    <w:rsid w:val="00291F0E"/>
    <w:rsid w:val="002C417E"/>
    <w:rsid w:val="002C5B32"/>
    <w:rsid w:val="002D45D3"/>
    <w:rsid w:val="002E7CAF"/>
    <w:rsid w:val="002F1882"/>
    <w:rsid w:val="00300118"/>
    <w:rsid w:val="00305538"/>
    <w:rsid w:val="0031225F"/>
    <w:rsid w:val="00320008"/>
    <w:rsid w:val="00325E65"/>
    <w:rsid w:val="0033213A"/>
    <w:rsid w:val="00344C55"/>
    <w:rsid w:val="0035088B"/>
    <w:rsid w:val="00357FB1"/>
    <w:rsid w:val="00360BAE"/>
    <w:rsid w:val="00362643"/>
    <w:rsid w:val="003714F8"/>
    <w:rsid w:val="00372804"/>
    <w:rsid w:val="003732D3"/>
    <w:rsid w:val="00380120"/>
    <w:rsid w:val="00380E19"/>
    <w:rsid w:val="00390C8D"/>
    <w:rsid w:val="00397CF6"/>
    <w:rsid w:val="003A6EDA"/>
    <w:rsid w:val="003B0D2A"/>
    <w:rsid w:val="003C7DA9"/>
    <w:rsid w:val="003D50D2"/>
    <w:rsid w:val="003D5D61"/>
    <w:rsid w:val="003D6008"/>
    <w:rsid w:val="003E07C2"/>
    <w:rsid w:val="003E4C32"/>
    <w:rsid w:val="003F08E8"/>
    <w:rsid w:val="00400A35"/>
    <w:rsid w:val="00414DD8"/>
    <w:rsid w:val="0041587C"/>
    <w:rsid w:val="0041635C"/>
    <w:rsid w:val="004255EE"/>
    <w:rsid w:val="00432CA0"/>
    <w:rsid w:val="00457FAD"/>
    <w:rsid w:val="00462C31"/>
    <w:rsid w:val="00472A85"/>
    <w:rsid w:val="00472C00"/>
    <w:rsid w:val="00473F78"/>
    <w:rsid w:val="0048449C"/>
    <w:rsid w:val="00490072"/>
    <w:rsid w:val="004B20DF"/>
    <w:rsid w:val="004B6773"/>
    <w:rsid w:val="004C199D"/>
    <w:rsid w:val="004C7DB3"/>
    <w:rsid w:val="004C7FC5"/>
    <w:rsid w:val="004E0620"/>
    <w:rsid w:val="004E12F8"/>
    <w:rsid w:val="004F1360"/>
    <w:rsid w:val="004F41C9"/>
    <w:rsid w:val="004F48E5"/>
    <w:rsid w:val="00500728"/>
    <w:rsid w:val="0050109A"/>
    <w:rsid w:val="00502B24"/>
    <w:rsid w:val="005076C3"/>
    <w:rsid w:val="00510EB2"/>
    <w:rsid w:val="005172F3"/>
    <w:rsid w:val="005235A7"/>
    <w:rsid w:val="0052691A"/>
    <w:rsid w:val="005274E5"/>
    <w:rsid w:val="0053345E"/>
    <w:rsid w:val="005404F4"/>
    <w:rsid w:val="00543424"/>
    <w:rsid w:val="00544D53"/>
    <w:rsid w:val="005747D2"/>
    <w:rsid w:val="00574DA0"/>
    <w:rsid w:val="005763C4"/>
    <w:rsid w:val="00577F16"/>
    <w:rsid w:val="00587BEA"/>
    <w:rsid w:val="00593099"/>
    <w:rsid w:val="005971EC"/>
    <w:rsid w:val="00597E2A"/>
    <w:rsid w:val="005A13F3"/>
    <w:rsid w:val="005A4C18"/>
    <w:rsid w:val="005A7FFC"/>
    <w:rsid w:val="005B217E"/>
    <w:rsid w:val="005C4FC8"/>
    <w:rsid w:val="005C5FC5"/>
    <w:rsid w:val="005E13EB"/>
    <w:rsid w:val="005E22F5"/>
    <w:rsid w:val="005E35F7"/>
    <w:rsid w:val="005F25B7"/>
    <w:rsid w:val="005F3D4D"/>
    <w:rsid w:val="005F53D0"/>
    <w:rsid w:val="006031EF"/>
    <w:rsid w:val="006068CA"/>
    <w:rsid w:val="00614AE3"/>
    <w:rsid w:val="0062721A"/>
    <w:rsid w:val="006323FA"/>
    <w:rsid w:val="006420EC"/>
    <w:rsid w:val="00643563"/>
    <w:rsid w:val="0064646B"/>
    <w:rsid w:val="00653D97"/>
    <w:rsid w:val="006675C8"/>
    <w:rsid w:val="00693E84"/>
    <w:rsid w:val="006A1356"/>
    <w:rsid w:val="006B25B9"/>
    <w:rsid w:val="006D08C4"/>
    <w:rsid w:val="006D50CD"/>
    <w:rsid w:val="006E1D99"/>
    <w:rsid w:val="006E7485"/>
    <w:rsid w:val="00702335"/>
    <w:rsid w:val="007064A5"/>
    <w:rsid w:val="00712230"/>
    <w:rsid w:val="007146D6"/>
    <w:rsid w:val="00715310"/>
    <w:rsid w:val="00715EDF"/>
    <w:rsid w:val="00732D30"/>
    <w:rsid w:val="007366BC"/>
    <w:rsid w:val="0074051F"/>
    <w:rsid w:val="00757770"/>
    <w:rsid w:val="00760613"/>
    <w:rsid w:val="007653F3"/>
    <w:rsid w:val="00777A7A"/>
    <w:rsid w:val="00784F0E"/>
    <w:rsid w:val="007869A1"/>
    <w:rsid w:val="007C0401"/>
    <w:rsid w:val="007C4FE0"/>
    <w:rsid w:val="007E171C"/>
    <w:rsid w:val="007E2C65"/>
    <w:rsid w:val="007F1B08"/>
    <w:rsid w:val="0084136C"/>
    <w:rsid w:val="00841570"/>
    <w:rsid w:val="00845032"/>
    <w:rsid w:val="008452FC"/>
    <w:rsid w:val="00850549"/>
    <w:rsid w:val="008625D3"/>
    <w:rsid w:val="00867B0A"/>
    <w:rsid w:val="008A69E8"/>
    <w:rsid w:val="008B4CFC"/>
    <w:rsid w:val="008E2647"/>
    <w:rsid w:val="008F586D"/>
    <w:rsid w:val="0091209D"/>
    <w:rsid w:val="00916694"/>
    <w:rsid w:val="00917B27"/>
    <w:rsid w:val="00920EF5"/>
    <w:rsid w:val="00922360"/>
    <w:rsid w:val="00944571"/>
    <w:rsid w:val="0094586B"/>
    <w:rsid w:val="009523C4"/>
    <w:rsid w:val="00956BD2"/>
    <w:rsid w:val="009713E4"/>
    <w:rsid w:val="009A2C25"/>
    <w:rsid w:val="009C797B"/>
    <w:rsid w:val="00A15060"/>
    <w:rsid w:val="00A372C0"/>
    <w:rsid w:val="00A81B92"/>
    <w:rsid w:val="00A92F7C"/>
    <w:rsid w:val="00AA030B"/>
    <w:rsid w:val="00AB7A37"/>
    <w:rsid w:val="00AC2D3F"/>
    <w:rsid w:val="00AD6EC8"/>
    <w:rsid w:val="00AE407D"/>
    <w:rsid w:val="00AF140D"/>
    <w:rsid w:val="00B06AFB"/>
    <w:rsid w:val="00B22220"/>
    <w:rsid w:val="00B24B96"/>
    <w:rsid w:val="00B356AE"/>
    <w:rsid w:val="00B45485"/>
    <w:rsid w:val="00B56E81"/>
    <w:rsid w:val="00B62D32"/>
    <w:rsid w:val="00B75173"/>
    <w:rsid w:val="00B92340"/>
    <w:rsid w:val="00B9515A"/>
    <w:rsid w:val="00B96368"/>
    <w:rsid w:val="00BA604E"/>
    <w:rsid w:val="00BA6254"/>
    <w:rsid w:val="00BC636D"/>
    <w:rsid w:val="00BD1B8E"/>
    <w:rsid w:val="00BE266B"/>
    <w:rsid w:val="00C01DD7"/>
    <w:rsid w:val="00C069A6"/>
    <w:rsid w:val="00C13A39"/>
    <w:rsid w:val="00C166E8"/>
    <w:rsid w:val="00C27403"/>
    <w:rsid w:val="00C410D2"/>
    <w:rsid w:val="00C41BDD"/>
    <w:rsid w:val="00C63FBB"/>
    <w:rsid w:val="00C82EE3"/>
    <w:rsid w:val="00C83DD3"/>
    <w:rsid w:val="00C9332F"/>
    <w:rsid w:val="00C96C66"/>
    <w:rsid w:val="00C9790F"/>
    <w:rsid w:val="00C97D64"/>
    <w:rsid w:val="00CC05F9"/>
    <w:rsid w:val="00CC062B"/>
    <w:rsid w:val="00CC7DC0"/>
    <w:rsid w:val="00CE2721"/>
    <w:rsid w:val="00CF0C4F"/>
    <w:rsid w:val="00D125C1"/>
    <w:rsid w:val="00D14CD2"/>
    <w:rsid w:val="00D34C22"/>
    <w:rsid w:val="00D40D85"/>
    <w:rsid w:val="00D553BB"/>
    <w:rsid w:val="00D62180"/>
    <w:rsid w:val="00D73B77"/>
    <w:rsid w:val="00D7631E"/>
    <w:rsid w:val="00D809A1"/>
    <w:rsid w:val="00D80C4B"/>
    <w:rsid w:val="00D87D05"/>
    <w:rsid w:val="00DA3289"/>
    <w:rsid w:val="00DA5174"/>
    <w:rsid w:val="00DB7C9A"/>
    <w:rsid w:val="00DC06C1"/>
    <w:rsid w:val="00E00319"/>
    <w:rsid w:val="00E1173C"/>
    <w:rsid w:val="00E12E4E"/>
    <w:rsid w:val="00E13195"/>
    <w:rsid w:val="00E15927"/>
    <w:rsid w:val="00E26091"/>
    <w:rsid w:val="00E26E05"/>
    <w:rsid w:val="00E366A8"/>
    <w:rsid w:val="00E42FD2"/>
    <w:rsid w:val="00E6454D"/>
    <w:rsid w:val="00E667F5"/>
    <w:rsid w:val="00E6686E"/>
    <w:rsid w:val="00E74FBD"/>
    <w:rsid w:val="00E810A8"/>
    <w:rsid w:val="00E853E6"/>
    <w:rsid w:val="00E8587E"/>
    <w:rsid w:val="00E936A2"/>
    <w:rsid w:val="00EA7662"/>
    <w:rsid w:val="00EC1F06"/>
    <w:rsid w:val="00EE0D47"/>
    <w:rsid w:val="00EE3BD8"/>
    <w:rsid w:val="00EF0BBC"/>
    <w:rsid w:val="00EF1026"/>
    <w:rsid w:val="00F075D1"/>
    <w:rsid w:val="00F14D95"/>
    <w:rsid w:val="00F172E4"/>
    <w:rsid w:val="00F25325"/>
    <w:rsid w:val="00F25AE5"/>
    <w:rsid w:val="00F30914"/>
    <w:rsid w:val="00F33D0A"/>
    <w:rsid w:val="00F3500C"/>
    <w:rsid w:val="00F45ED9"/>
    <w:rsid w:val="00F651CE"/>
    <w:rsid w:val="00F93F2C"/>
    <w:rsid w:val="00F95351"/>
    <w:rsid w:val="00FC6635"/>
    <w:rsid w:val="00FD109A"/>
    <w:rsid w:val="00FD7A1D"/>
    <w:rsid w:val="00FE2689"/>
    <w:rsid w:val="0A493BF6"/>
    <w:rsid w:val="0AC53A31"/>
    <w:rsid w:val="0D150BD2"/>
    <w:rsid w:val="0E92580C"/>
    <w:rsid w:val="11FC04FF"/>
    <w:rsid w:val="1B996651"/>
    <w:rsid w:val="1CA7428F"/>
    <w:rsid w:val="20433B55"/>
    <w:rsid w:val="23ED4BE7"/>
    <w:rsid w:val="2A3132F8"/>
    <w:rsid w:val="2DED46D8"/>
    <w:rsid w:val="2F291EA9"/>
    <w:rsid w:val="39CF55BA"/>
    <w:rsid w:val="3CD240E0"/>
    <w:rsid w:val="3E8D578D"/>
    <w:rsid w:val="3EBD4D00"/>
    <w:rsid w:val="40A96304"/>
    <w:rsid w:val="512B3A51"/>
    <w:rsid w:val="56536C56"/>
    <w:rsid w:val="5792439B"/>
    <w:rsid w:val="5A934AEB"/>
    <w:rsid w:val="5B774131"/>
    <w:rsid w:val="5F292A4C"/>
    <w:rsid w:val="63834485"/>
    <w:rsid w:val="67574AF6"/>
    <w:rsid w:val="685721B0"/>
    <w:rsid w:val="6AB530EC"/>
    <w:rsid w:val="6D97506B"/>
    <w:rsid w:val="72DF7FEC"/>
    <w:rsid w:val="78E31DC8"/>
    <w:rsid w:val="7E5107E4"/>
    <w:rsid w:val="7F8166C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qFormat="1" w:uiPriority="39" w:semiHidden="0" w:name="toc 8"/>
    <w:lsdException w:uiPriority="39" w:semiHidden="0" w:name="toc 9"/>
    <w:lsdException w:unhideWhenUsed="0" w:uiPriority="0" w:semiHidden="0" w:name="Normal Indent"/>
    <w:lsdException w:uiPriority="0" w:semiHidden="0" w:name="footnote text"/>
    <w:lsdException w:unhideWhenUsed="0" w:uiPriority="99" w:semiHidden="0" w:name="annotation text"/>
    <w:lsdException w:unhideWhenUsed="0" w:uiPriority="99" w:semiHidden="0" w:name="header"/>
    <w:lsdException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iPriority="99"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iPriority="99"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3"/>
    <w:qFormat/>
    <w:uiPriority w:val="0"/>
    <w:pPr>
      <w:keepNext/>
      <w:keepLines/>
      <w:spacing w:before="100" w:beforeAutospacing="1" w:after="100" w:afterAutospacing="1" w:line="360" w:lineRule="auto"/>
      <w:outlineLvl w:val="0"/>
    </w:pPr>
    <w:rPr>
      <w:b/>
      <w:bCs/>
      <w:kern w:val="44"/>
      <w:sz w:val="44"/>
      <w:szCs w:val="44"/>
    </w:rPr>
  </w:style>
  <w:style w:type="paragraph" w:styleId="4">
    <w:name w:val="heading 2"/>
    <w:basedOn w:val="1"/>
    <w:next w:val="1"/>
    <w:link w:val="44"/>
    <w:qFormat/>
    <w:uiPriority w:val="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5"/>
    <w:qFormat/>
    <w:uiPriority w:val="9"/>
    <w:pPr>
      <w:keepNext/>
      <w:keepLines/>
      <w:widowControl/>
      <w:spacing w:before="260" w:after="260" w:line="412" w:lineRule="auto"/>
      <w:ind w:firstLine="224" w:firstLineChars="224"/>
      <w:outlineLvl w:val="2"/>
    </w:pPr>
    <w:rPr>
      <w:rFonts w:ascii="Calibri" w:hAnsi="Calibri"/>
      <w:b/>
      <w:bCs/>
      <w:sz w:val="32"/>
      <w:szCs w:val="32"/>
    </w:rPr>
  </w:style>
  <w:style w:type="character" w:default="1" w:styleId="37">
    <w:name w:val="Default Paragraph Font"/>
    <w:semiHidden/>
    <w:uiPriority w:val="0"/>
  </w:style>
  <w:style w:type="table" w:default="1" w:styleId="35">
    <w:name w:val="Normal Table"/>
    <w:semiHidden/>
    <w:uiPriority w:val="0"/>
    <w:tblPr>
      <w:tblCellMar>
        <w:top w:w="0" w:type="dxa"/>
        <w:left w:w="108" w:type="dxa"/>
        <w:bottom w:w="0" w:type="dxa"/>
        <w:right w:w="108" w:type="dxa"/>
      </w:tblCellMar>
    </w:tblPr>
  </w:style>
  <w:style w:type="paragraph" w:styleId="2">
    <w:name w:val="Normal Indent"/>
    <w:basedOn w:val="1"/>
    <w:uiPriority w:val="0"/>
    <w:pPr>
      <w:ind w:firstLine="420"/>
    </w:pPr>
    <w:rPr>
      <w:rFonts w:ascii="Garamond" w:hAnsi="Garamond"/>
      <w:kern w:val="0"/>
      <w:sz w:val="18"/>
      <w:szCs w:val="20"/>
    </w:rPr>
  </w:style>
  <w:style w:type="paragraph" w:styleId="6">
    <w:name w:val="toc 7"/>
    <w:basedOn w:val="1"/>
    <w:next w:val="1"/>
    <w:unhideWhenUsed/>
    <w:uiPriority w:val="39"/>
    <w:pPr>
      <w:ind w:left="2520" w:leftChars="1200"/>
    </w:pPr>
    <w:rPr>
      <w:rFonts w:ascii="Calibri" w:hAnsi="Calibri" w:eastAsia="宋体" w:cs="Times New Roman"/>
      <w:szCs w:val="22"/>
    </w:rPr>
  </w:style>
  <w:style w:type="paragraph" w:styleId="7">
    <w:name w:val="caption"/>
    <w:basedOn w:val="1"/>
    <w:next w:val="1"/>
    <w:link w:val="46"/>
    <w:qFormat/>
    <w:uiPriority w:val="35"/>
    <w:rPr>
      <w:rFonts w:ascii="Cambria" w:hAnsi="Cambria" w:eastAsia="黑体"/>
      <w:sz w:val="20"/>
      <w:szCs w:val="20"/>
    </w:rPr>
  </w:style>
  <w:style w:type="paragraph" w:styleId="8">
    <w:name w:val="Document Map"/>
    <w:basedOn w:val="1"/>
    <w:link w:val="47"/>
    <w:unhideWhenUsed/>
    <w:uiPriority w:val="99"/>
    <w:rPr>
      <w:rFonts w:ascii="宋体"/>
      <w:sz w:val="18"/>
      <w:szCs w:val="18"/>
    </w:rPr>
  </w:style>
  <w:style w:type="paragraph" w:styleId="9">
    <w:name w:val="annotation text"/>
    <w:basedOn w:val="1"/>
    <w:link w:val="48"/>
    <w:uiPriority w:val="99"/>
    <w:pPr>
      <w:jc w:val="left"/>
    </w:pPr>
  </w:style>
  <w:style w:type="paragraph" w:styleId="10">
    <w:name w:val="Body Text 3"/>
    <w:basedOn w:val="1"/>
    <w:link w:val="49"/>
    <w:uiPriority w:val="0"/>
    <w:pPr>
      <w:spacing w:after="120"/>
    </w:pPr>
    <w:rPr>
      <w:sz w:val="16"/>
      <w:szCs w:val="16"/>
    </w:rPr>
  </w:style>
  <w:style w:type="paragraph" w:styleId="11">
    <w:name w:val="Body Text"/>
    <w:basedOn w:val="1"/>
    <w:link w:val="50"/>
    <w:uiPriority w:val="0"/>
    <w:pPr>
      <w:spacing w:after="120"/>
    </w:pPr>
  </w:style>
  <w:style w:type="paragraph" w:styleId="12">
    <w:name w:val="Body Text Indent"/>
    <w:basedOn w:val="1"/>
    <w:link w:val="51"/>
    <w:uiPriority w:val="0"/>
    <w:pPr>
      <w:spacing w:after="120"/>
      <w:ind w:left="420" w:leftChars="200"/>
    </w:pPr>
  </w:style>
  <w:style w:type="paragraph" w:styleId="13">
    <w:name w:val="toc 5"/>
    <w:basedOn w:val="1"/>
    <w:next w:val="1"/>
    <w:unhideWhenUsed/>
    <w:uiPriority w:val="39"/>
    <w:pPr>
      <w:ind w:left="1680" w:leftChars="800"/>
    </w:pPr>
    <w:rPr>
      <w:rFonts w:ascii="Calibri" w:hAnsi="Calibri" w:eastAsia="宋体" w:cs="Times New Roman"/>
      <w:szCs w:val="22"/>
    </w:rPr>
  </w:style>
  <w:style w:type="paragraph" w:styleId="14">
    <w:name w:val="toc 3"/>
    <w:basedOn w:val="1"/>
    <w:next w:val="1"/>
    <w:unhideWhenUsed/>
    <w:uiPriority w:val="39"/>
    <w:pPr>
      <w:ind w:left="840" w:leftChars="400"/>
    </w:pPr>
  </w:style>
  <w:style w:type="paragraph" w:styleId="15">
    <w:name w:val="Plain Text"/>
    <w:basedOn w:val="1"/>
    <w:link w:val="52"/>
    <w:uiPriority w:val="0"/>
    <w:pPr>
      <w:ind w:firstLine="420" w:firstLineChars="200"/>
    </w:pPr>
    <w:rPr>
      <w:rFonts w:ascii="宋体" w:hAnsi="Roman 10cpi"/>
      <w:szCs w:val="20"/>
    </w:rPr>
  </w:style>
  <w:style w:type="paragraph" w:styleId="16">
    <w:name w:val="toc 8"/>
    <w:basedOn w:val="1"/>
    <w:next w:val="1"/>
    <w:unhideWhenUsed/>
    <w:qFormat/>
    <w:uiPriority w:val="39"/>
    <w:pPr>
      <w:ind w:left="2940" w:leftChars="1400"/>
    </w:pPr>
    <w:rPr>
      <w:rFonts w:ascii="Calibri" w:hAnsi="Calibri" w:eastAsia="宋体" w:cs="Times New Roman"/>
      <w:szCs w:val="22"/>
    </w:rPr>
  </w:style>
  <w:style w:type="paragraph" w:styleId="17">
    <w:name w:val="Date"/>
    <w:basedOn w:val="1"/>
    <w:next w:val="1"/>
    <w:link w:val="53"/>
    <w:uiPriority w:val="0"/>
    <w:pPr>
      <w:ind w:left="100" w:leftChars="2500"/>
    </w:pPr>
  </w:style>
  <w:style w:type="paragraph" w:styleId="18">
    <w:name w:val="Body Text Indent 2"/>
    <w:basedOn w:val="1"/>
    <w:link w:val="54"/>
    <w:uiPriority w:val="0"/>
    <w:pPr>
      <w:ind w:left="1" w:firstLine="538" w:firstLineChars="192"/>
    </w:pPr>
    <w:rPr>
      <w:sz w:val="28"/>
    </w:rPr>
  </w:style>
  <w:style w:type="paragraph" w:styleId="19">
    <w:name w:val="Balloon Text"/>
    <w:basedOn w:val="1"/>
    <w:link w:val="55"/>
    <w:unhideWhenUsed/>
    <w:uiPriority w:val="99"/>
    <w:rPr>
      <w:sz w:val="18"/>
      <w:szCs w:val="18"/>
    </w:rPr>
  </w:style>
  <w:style w:type="paragraph" w:styleId="20">
    <w:name w:val="footer"/>
    <w:basedOn w:val="1"/>
    <w:link w:val="56"/>
    <w:uiPriority w:val="99"/>
    <w:pPr>
      <w:tabs>
        <w:tab w:val="center" w:pos="4153"/>
        <w:tab w:val="right" w:pos="8306"/>
      </w:tabs>
      <w:snapToGrid w:val="0"/>
      <w:jc w:val="left"/>
    </w:pPr>
    <w:rPr>
      <w:sz w:val="18"/>
      <w:szCs w:val="18"/>
    </w:rPr>
  </w:style>
  <w:style w:type="paragraph" w:styleId="21">
    <w:name w:val="header"/>
    <w:basedOn w:val="1"/>
    <w:link w:val="57"/>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iPriority w:val="39"/>
    <w:pPr>
      <w:spacing w:line="300" w:lineRule="atLeast"/>
    </w:pPr>
    <w:rPr>
      <w:rFonts w:ascii="宋体"/>
      <w:szCs w:val="20"/>
    </w:rPr>
  </w:style>
  <w:style w:type="paragraph" w:styleId="23">
    <w:name w:val="toc 4"/>
    <w:basedOn w:val="1"/>
    <w:next w:val="1"/>
    <w:unhideWhenUsed/>
    <w:uiPriority w:val="39"/>
    <w:pPr>
      <w:ind w:left="1260" w:leftChars="600"/>
    </w:pPr>
    <w:rPr>
      <w:rFonts w:ascii="Calibri" w:hAnsi="Calibri" w:eastAsia="宋体" w:cs="Times New Roman"/>
      <w:szCs w:val="22"/>
    </w:rPr>
  </w:style>
  <w:style w:type="paragraph" w:styleId="24">
    <w:name w:val="Subtitle"/>
    <w:basedOn w:val="1"/>
    <w:next w:val="1"/>
    <w:link w:val="58"/>
    <w:qFormat/>
    <w:uiPriority w:val="0"/>
    <w:pPr>
      <w:widowControl/>
      <w:spacing w:before="240" w:after="60" w:line="312" w:lineRule="auto"/>
      <w:ind w:firstLine="224" w:firstLineChars="224"/>
      <w:jc w:val="center"/>
      <w:outlineLvl w:val="1"/>
    </w:pPr>
    <w:rPr>
      <w:rFonts w:ascii="Cambria" w:hAnsi="Cambria"/>
      <w:b/>
      <w:bCs/>
      <w:kern w:val="28"/>
      <w:sz w:val="32"/>
      <w:szCs w:val="32"/>
    </w:rPr>
  </w:style>
  <w:style w:type="paragraph" w:styleId="25">
    <w:name w:val="footnote text"/>
    <w:basedOn w:val="1"/>
    <w:link w:val="59"/>
    <w:unhideWhenUsed/>
    <w:uiPriority w:val="0"/>
    <w:pPr>
      <w:snapToGrid w:val="0"/>
      <w:jc w:val="left"/>
    </w:pPr>
    <w:rPr>
      <w:kern w:val="0"/>
      <w:sz w:val="18"/>
      <w:szCs w:val="18"/>
    </w:rPr>
  </w:style>
  <w:style w:type="paragraph" w:styleId="26">
    <w:name w:val="toc 6"/>
    <w:basedOn w:val="1"/>
    <w:next w:val="1"/>
    <w:unhideWhenUsed/>
    <w:uiPriority w:val="39"/>
    <w:pPr>
      <w:ind w:left="2100" w:leftChars="1000"/>
    </w:pPr>
    <w:rPr>
      <w:rFonts w:ascii="Calibri" w:hAnsi="Calibri" w:eastAsia="宋体" w:cs="Times New Roman"/>
      <w:szCs w:val="22"/>
    </w:rPr>
  </w:style>
  <w:style w:type="paragraph" w:styleId="27">
    <w:name w:val="Body Text Indent 3"/>
    <w:basedOn w:val="1"/>
    <w:link w:val="60"/>
    <w:uiPriority w:val="0"/>
    <w:pPr>
      <w:spacing w:after="120"/>
      <w:ind w:left="420" w:leftChars="200"/>
    </w:pPr>
    <w:rPr>
      <w:sz w:val="16"/>
      <w:szCs w:val="16"/>
    </w:rPr>
  </w:style>
  <w:style w:type="paragraph" w:styleId="28">
    <w:name w:val="toc 2"/>
    <w:basedOn w:val="1"/>
    <w:next w:val="1"/>
    <w:unhideWhenUsed/>
    <w:uiPriority w:val="39"/>
    <w:pPr>
      <w:ind w:left="420" w:leftChars="200"/>
    </w:pPr>
  </w:style>
  <w:style w:type="paragraph" w:styleId="29">
    <w:name w:val="toc 9"/>
    <w:basedOn w:val="1"/>
    <w:next w:val="1"/>
    <w:unhideWhenUsed/>
    <w:uiPriority w:val="39"/>
    <w:pPr>
      <w:ind w:left="3360" w:leftChars="1600"/>
    </w:pPr>
    <w:rPr>
      <w:rFonts w:ascii="Calibri" w:hAnsi="Calibri" w:eastAsia="宋体" w:cs="Times New Roman"/>
      <w:szCs w:val="22"/>
    </w:rPr>
  </w:style>
  <w:style w:type="paragraph" w:styleId="30">
    <w:name w:val="Body Text 2"/>
    <w:basedOn w:val="1"/>
    <w:link w:val="61"/>
    <w:uiPriority w:val="0"/>
    <w:pPr>
      <w:spacing w:after="120" w:line="480" w:lineRule="auto"/>
    </w:pPr>
  </w:style>
  <w:style w:type="paragraph" w:styleId="31">
    <w:name w:val="Normal (Web)"/>
    <w:basedOn w:val="1"/>
    <w:uiPriority w:val="0"/>
    <w:pPr>
      <w:widowControl/>
      <w:spacing w:before="100" w:beforeAutospacing="1" w:after="100" w:afterAutospacing="1"/>
      <w:jc w:val="left"/>
    </w:pPr>
    <w:rPr>
      <w:rFonts w:hint="eastAsia" w:ascii="宋体" w:hAnsi="宋体"/>
      <w:kern w:val="0"/>
      <w:sz w:val="24"/>
    </w:rPr>
  </w:style>
  <w:style w:type="paragraph" w:styleId="32">
    <w:name w:val="index 1"/>
    <w:basedOn w:val="1"/>
    <w:next w:val="1"/>
    <w:uiPriority w:val="0"/>
  </w:style>
  <w:style w:type="paragraph" w:styleId="33">
    <w:name w:val="Title"/>
    <w:basedOn w:val="1"/>
    <w:next w:val="1"/>
    <w:link w:val="62"/>
    <w:qFormat/>
    <w:uiPriority w:val="0"/>
    <w:pPr>
      <w:spacing w:before="240" w:after="60"/>
      <w:jc w:val="center"/>
      <w:outlineLvl w:val="0"/>
    </w:pPr>
    <w:rPr>
      <w:rFonts w:ascii="Cambria" w:hAnsi="Cambria"/>
      <w:b/>
      <w:bCs/>
      <w:sz w:val="32"/>
      <w:szCs w:val="32"/>
    </w:rPr>
  </w:style>
  <w:style w:type="paragraph" w:styleId="34">
    <w:name w:val="annotation subject"/>
    <w:basedOn w:val="9"/>
    <w:next w:val="9"/>
    <w:link w:val="63"/>
    <w:uiPriority w:val="0"/>
    <w:rPr>
      <w:b/>
      <w:bCs/>
    </w:rPr>
  </w:style>
  <w:style w:type="table" w:styleId="36">
    <w:name w:val="Table Grid"/>
    <w:basedOn w:val="35"/>
    <w:uiPriority w:val="59"/>
    <w:rPr>
      <w:rFonts w:ascii="Calibri" w:hAnsi="Calibri" w:eastAsia="宋体" w:cs="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8">
    <w:name w:val="page number"/>
    <w:uiPriority w:val="0"/>
  </w:style>
  <w:style w:type="character" w:styleId="39">
    <w:name w:val="Emphasis"/>
    <w:qFormat/>
    <w:uiPriority w:val="20"/>
    <w:rPr>
      <w:i/>
      <w:iCs/>
    </w:rPr>
  </w:style>
  <w:style w:type="character" w:styleId="40">
    <w:name w:val="Hyperlink"/>
    <w:unhideWhenUsed/>
    <w:uiPriority w:val="99"/>
    <w:rPr>
      <w:color w:val="0000FF"/>
      <w:u w:val="single"/>
    </w:rPr>
  </w:style>
  <w:style w:type="character" w:styleId="41">
    <w:name w:val="annotation reference"/>
    <w:uiPriority w:val="0"/>
    <w:rPr>
      <w:sz w:val="21"/>
      <w:szCs w:val="21"/>
    </w:rPr>
  </w:style>
  <w:style w:type="character" w:styleId="42">
    <w:name w:val="footnote reference"/>
    <w:uiPriority w:val="0"/>
    <w:rPr>
      <w:vertAlign w:val="superscript"/>
    </w:rPr>
  </w:style>
  <w:style w:type="character" w:customStyle="1" w:styleId="43">
    <w:name w:val="标题 1 字符"/>
    <w:link w:val="3"/>
    <w:uiPriority w:val="0"/>
    <w:rPr>
      <w:b/>
      <w:bCs/>
      <w:kern w:val="44"/>
      <w:sz w:val="44"/>
      <w:szCs w:val="44"/>
    </w:rPr>
  </w:style>
  <w:style w:type="character" w:customStyle="1" w:styleId="44">
    <w:name w:val="标题 2 字符"/>
    <w:link w:val="4"/>
    <w:uiPriority w:val="9"/>
    <w:rPr>
      <w:rFonts w:ascii="Arial" w:hAnsi="Arial" w:eastAsia="黑体"/>
      <w:b/>
      <w:bCs/>
      <w:kern w:val="2"/>
      <w:sz w:val="32"/>
      <w:szCs w:val="32"/>
    </w:rPr>
  </w:style>
  <w:style w:type="character" w:customStyle="1" w:styleId="45">
    <w:name w:val="标题 3 字符"/>
    <w:link w:val="5"/>
    <w:semiHidden/>
    <w:uiPriority w:val="9"/>
    <w:rPr>
      <w:rFonts w:ascii="Calibri" w:hAnsi="Calibri" w:cs="Times New Roman"/>
      <w:b/>
      <w:bCs/>
      <w:kern w:val="2"/>
      <w:sz w:val="32"/>
      <w:szCs w:val="32"/>
    </w:rPr>
  </w:style>
  <w:style w:type="character" w:customStyle="1" w:styleId="46">
    <w:name w:val="题注 字符"/>
    <w:link w:val="7"/>
    <w:uiPriority w:val="35"/>
    <w:rPr>
      <w:rFonts w:ascii="Cambria" w:hAnsi="Cambria" w:eastAsia="黑体"/>
      <w:kern w:val="2"/>
    </w:rPr>
  </w:style>
  <w:style w:type="character" w:customStyle="1" w:styleId="47">
    <w:name w:val="文档结构图 字符"/>
    <w:link w:val="8"/>
    <w:uiPriority w:val="99"/>
    <w:rPr>
      <w:rFonts w:ascii="宋体"/>
      <w:kern w:val="2"/>
      <w:sz w:val="18"/>
      <w:szCs w:val="18"/>
    </w:rPr>
  </w:style>
  <w:style w:type="character" w:customStyle="1" w:styleId="48">
    <w:name w:val="批注文字 字符"/>
    <w:link w:val="9"/>
    <w:uiPriority w:val="99"/>
    <w:rPr>
      <w:kern w:val="2"/>
      <w:sz w:val="21"/>
      <w:szCs w:val="24"/>
    </w:rPr>
  </w:style>
  <w:style w:type="character" w:customStyle="1" w:styleId="49">
    <w:name w:val="正文文本 3 字符"/>
    <w:link w:val="10"/>
    <w:uiPriority w:val="0"/>
    <w:rPr>
      <w:kern w:val="2"/>
      <w:sz w:val="16"/>
      <w:szCs w:val="16"/>
    </w:rPr>
  </w:style>
  <w:style w:type="character" w:customStyle="1" w:styleId="50">
    <w:name w:val="正文文本 字符"/>
    <w:link w:val="11"/>
    <w:uiPriority w:val="0"/>
    <w:rPr>
      <w:kern w:val="2"/>
      <w:sz w:val="21"/>
      <w:szCs w:val="24"/>
    </w:rPr>
  </w:style>
  <w:style w:type="character" w:customStyle="1" w:styleId="51">
    <w:name w:val="正文文本缩进 字符"/>
    <w:link w:val="12"/>
    <w:uiPriority w:val="0"/>
    <w:rPr>
      <w:kern w:val="2"/>
      <w:sz w:val="21"/>
      <w:szCs w:val="24"/>
    </w:rPr>
  </w:style>
  <w:style w:type="character" w:customStyle="1" w:styleId="52">
    <w:name w:val="纯文本 字符"/>
    <w:link w:val="15"/>
    <w:uiPriority w:val="0"/>
    <w:rPr>
      <w:rFonts w:ascii="宋体" w:hAnsi="Roman 10cpi"/>
      <w:kern w:val="2"/>
      <w:sz w:val="21"/>
    </w:rPr>
  </w:style>
  <w:style w:type="character" w:customStyle="1" w:styleId="53">
    <w:name w:val="日期 字符"/>
    <w:link w:val="17"/>
    <w:uiPriority w:val="0"/>
    <w:rPr>
      <w:kern w:val="2"/>
      <w:sz w:val="21"/>
      <w:szCs w:val="24"/>
    </w:rPr>
  </w:style>
  <w:style w:type="character" w:customStyle="1" w:styleId="54">
    <w:name w:val="正文文本缩进 2 字符"/>
    <w:link w:val="18"/>
    <w:uiPriority w:val="0"/>
    <w:rPr>
      <w:kern w:val="2"/>
      <w:sz w:val="28"/>
      <w:szCs w:val="24"/>
    </w:rPr>
  </w:style>
  <w:style w:type="character" w:customStyle="1" w:styleId="55">
    <w:name w:val="批注框文本 字符"/>
    <w:link w:val="19"/>
    <w:uiPriority w:val="99"/>
    <w:rPr>
      <w:kern w:val="2"/>
      <w:sz w:val="18"/>
      <w:szCs w:val="18"/>
    </w:rPr>
  </w:style>
  <w:style w:type="character" w:customStyle="1" w:styleId="56">
    <w:name w:val="页脚 字符"/>
    <w:link w:val="20"/>
    <w:uiPriority w:val="99"/>
    <w:rPr>
      <w:kern w:val="2"/>
      <w:sz w:val="18"/>
      <w:szCs w:val="18"/>
    </w:rPr>
  </w:style>
  <w:style w:type="character" w:customStyle="1" w:styleId="57">
    <w:name w:val="页眉 字符"/>
    <w:link w:val="21"/>
    <w:uiPriority w:val="99"/>
    <w:rPr>
      <w:kern w:val="2"/>
      <w:sz w:val="18"/>
      <w:szCs w:val="18"/>
    </w:rPr>
  </w:style>
  <w:style w:type="character" w:customStyle="1" w:styleId="58">
    <w:name w:val="副标题 字符"/>
    <w:link w:val="24"/>
    <w:uiPriority w:val="0"/>
    <w:rPr>
      <w:rFonts w:ascii="Cambria" w:hAnsi="Cambria" w:cs="Times New Roman"/>
      <w:b/>
      <w:bCs/>
      <w:kern w:val="28"/>
      <w:sz w:val="32"/>
      <w:szCs w:val="32"/>
    </w:rPr>
  </w:style>
  <w:style w:type="character" w:customStyle="1" w:styleId="59">
    <w:name w:val="脚注文本 字符"/>
    <w:link w:val="25"/>
    <w:uiPriority w:val="0"/>
    <w:rPr>
      <w:sz w:val="18"/>
      <w:szCs w:val="18"/>
    </w:rPr>
  </w:style>
  <w:style w:type="character" w:customStyle="1" w:styleId="60">
    <w:name w:val="正文文本缩进 3 字符"/>
    <w:link w:val="27"/>
    <w:uiPriority w:val="0"/>
    <w:rPr>
      <w:kern w:val="2"/>
      <w:sz w:val="16"/>
      <w:szCs w:val="16"/>
    </w:rPr>
  </w:style>
  <w:style w:type="character" w:customStyle="1" w:styleId="61">
    <w:name w:val="正文文本 2 字符"/>
    <w:link w:val="30"/>
    <w:uiPriority w:val="0"/>
    <w:rPr>
      <w:kern w:val="2"/>
      <w:sz w:val="21"/>
      <w:szCs w:val="24"/>
    </w:rPr>
  </w:style>
  <w:style w:type="character" w:customStyle="1" w:styleId="62">
    <w:name w:val="标题 字符"/>
    <w:link w:val="33"/>
    <w:uiPriority w:val="0"/>
    <w:rPr>
      <w:rFonts w:ascii="Cambria" w:hAnsi="Cambria" w:cs="Times New Roman"/>
      <w:b/>
      <w:bCs/>
      <w:kern w:val="2"/>
      <w:sz w:val="32"/>
      <w:szCs w:val="32"/>
    </w:rPr>
  </w:style>
  <w:style w:type="character" w:customStyle="1" w:styleId="63">
    <w:name w:val="批注主题 字符"/>
    <w:link w:val="34"/>
    <w:uiPriority w:val="0"/>
    <w:rPr>
      <w:b/>
      <w:bCs/>
      <w:kern w:val="2"/>
      <w:sz w:val="21"/>
      <w:szCs w:val="24"/>
    </w:rPr>
  </w:style>
  <w:style w:type="character" w:customStyle="1" w:styleId="64">
    <w:name w:val="YL正文 Char"/>
    <w:link w:val="65"/>
    <w:uiPriority w:val="0"/>
    <w:rPr>
      <w:rFonts w:ascii="仿宋" w:hAnsi="仿宋" w:eastAsia="宋体"/>
      <w:color w:val="000000"/>
      <w:kern w:val="2"/>
      <w:sz w:val="24"/>
      <w:szCs w:val="24"/>
    </w:rPr>
  </w:style>
  <w:style w:type="paragraph" w:customStyle="1" w:styleId="65">
    <w:name w:val="YL正文"/>
    <w:basedOn w:val="1"/>
    <w:link w:val="64"/>
    <w:qFormat/>
    <w:uiPriority w:val="0"/>
    <w:pPr>
      <w:spacing w:line="300" w:lineRule="auto"/>
      <w:ind w:firstLine="200" w:firstLineChars="200"/>
    </w:pPr>
    <w:rPr>
      <w:rFonts w:ascii="仿宋" w:hAnsi="仿宋"/>
      <w:color w:val="000000"/>
      <w:sz w:val="24"/>
    </w:rPr>
  </w:style>
  <w:style w:type="character" w:customStyle="1" w:styleId="66">
    <w:name w:val="样式（正文） Char"/>
    <w:link w:val="67"/>
    <w:uiPriority w:val="0"/>
    <w:rPr>
      <w:rFonts w:ascii="Calibri" w:hAnsi="Calibri" w:eastAsia="宋体" w:cs="Times New Roman"/>
      <w:kern w:val="2"/>
      <w:sz w:val="24"/>
      <w:szCs w:val="24"/>
    </w:rPr>
  </w:style>
  <w:style w:type="paragraph" w:customStyle="1" w:styleId="67">
    <w:name w:val="样式（正文）"/>
    <w:basedOn w:val="1"/>
    <w:link w:val="66"/>
    <w:uiPriority w:val="0"/>
    <w:pPr>
      <w:widowControl/>
      <w:spacing w:line="300" w:lineRule="auto"/>
      <w:ind w:firstLine="224" w:firstLineChars="224"/>
    </w:pPr>
    <w:rPr>
      <w:rFonts w:ascii="Calibri" w:hAnsi="Calibri"/>
      <w:sz w:val="24"/>
    </w:rPr>
  </w:style>
  <w:style w:type="character" w:customStyle="1" w:styleId="68">
    <w:name w:val="样式1 Char"/>
    <w:locked/>
    <w:uiPriority w:val="0"/>
    <w:rPr>
      <w:rFonts w:ascii="Arial" w:hAnsi="Arial" w:eastAsia="黑体"/>
      <w:kern w:val="2"/>
      <w:sz w:val="32"/>
      <w:szCs w:val="32"/>
    </w:rPr>
  </w:style>
  <w:style w:type="character" w:customStyle="1" w:styleId="69">
    <w:name w:val="YL五级 Char"/>
    <w:link w:val="70"/>
    <w:uiPriority w:val="0"/>
    <w:rPr>
      <w:rFonts w:ascii="仿宋" w:hAnsi="仿宋" w:eastAsia="宋体"/>
      <w:b/>
      <w:color w:val="000000"/>
      <w:kern w:val="2"/>
      <w:sz w:val="24"/>
      <w:szCs w:val="24"/>
    </w:rPr>
  </w:style>
  <w:style w:type="paragraph" w:customStyle="1" w:styleId="70">
    <w:name w:val="YL五级"/>
    <w:basedOn w:val="1"/>
    <w:link w:val="69"/>
    <w:qFormat/>
    <w:uiPriority w:val="0"/>
    <w:pPr>
      <w:adjustRightInd w:val="0"/>
      <w:spacing w:beforeLines="50" w:afterLines="50"/>
      <w:ind w:firstLine="200" w:firstLineChars="200"/>
      <w:jc w:val="left"/>
      <w:outlineLvl w:val="4"/>
    </w:pPr>
    <w:rPr>
      <w:rFonts w:ascii="仿宋" w:hAnsi="仿宋"/>
      <w:b/>
      <w:color w:val="000000"/>
      <w:sz w:val="24"/>
    </w:rPr>
  </w:style>
  <w:style w:type="character" w:customStyle="1" w:styleId="71">
    <w:name w:val="apple-style-span"/>
    <w:uiPriority w:val="0"/>
  </w:style>
  <w:style w:type="character" w:customStyle="1" w:styleId="72">
    <w:name w:val="a Char"/>
    <w:link w:val="73"/>
    <w:uiPriority w:val="0"/>
    <w:rPr>
      <w:rFonts w:ascii="宋体" w:hAnsi="宋体" w:eastAsia="宋体" w:cs="Times New Roman"/>
      <w:b/>
      <w:color w:val="000000"/>
      <w:kern w:val="2"/>
      <w:sz w:val="24"/>
      <w:szCs w:val="24"/>
    </w:rPr>
  </w:style>
  <w:style w:type="paragraph" w:customStyle="1" w:styleId="73">
    <w:name w:val="a"/>
    <w:basedOn w:val="74"/>
    <w:link w:val="72"/>
    <w:uiPriority w:val="0"/>
    <w:pPr>
      <w:spacing w:line="360" w:lineRule="auto"/>
      <w:ind w:firstLine="472"/>
    </w:pPr>
    <w:rPr>
      <w:sz w:val="24"/>
      <w:szCs w:val="24"/>
    </w:rPr>
  </w:style>
  <w:style w:type="paragraph" w:customStyle="1" w:styleId="74">
    <w:name w:val="a标题"/>
    <w:basedOn w:val="1"/>
    <w:link w:val="75"/>
    <w:uiPriority w:val="0"/>
    <w:pPr>
      <w:widowControl/>
      <w:spacing w:line="400" w:lineRule="exact"/>
      <w:ind w:firstLine="551" w:firstLineChars="196"/>
    </w:pPr>
    <w:rPr>
      <w:rFonts w:ascii="宋体" w:hAnsi="宋体"/>
      <w:b/>
      <w:color w:val="000000"/>
      <w:sz w:val="28"/>
      <w:szCs w:val="28"/>
    </w:rPr>
  </w:style>
  <w:style w:type="character" w:customStyle="1" w:styleId="75">
    <w:name w:val="a标题 Char"/>
    <w:link w:val="74"/>
    <w:uiPriority w:val="0"/>
    <w:rPr>
      <w:rFonts w:ascii="宋体" w:hAnsi="宋体" w:eastAsia="宋体" w:cs="Times New Roman"/>
      <w:b/>
      <w:color w:val="000000"/>
      <w:kern w:val="2"/>
      <w:sz w:val="28"/>
      <w:szCs w:val="28"/>
    </w:rPr>
  </w:style>
  <w:style w:type="character" w:customStyle="1" w:styleId="76">
    <w:name w:val="表头 Char Char"/>
    <w:uiPriority w:val="0"/>
    <w:rPr>
      <w:rFonts w:ascii="黑体" w:hAnsi="黑体" w:eastAsia="黑体" w:cs="黑体"/>
      <w:kern w:val="2"/>
      <w:sz w:val="21"/>
      <w:szCs w:val="21"/>
    </w:rPr>
  </w:style>
  <w:style w:type="character" w:customStyle="1" w:styleId="77">
    <w:name w:val="YL三级 Char"/>
    <w:link w:val="78"/>
    <w:uiPriority w:val="0"/>
    <w:rPr>
      <w:rFonts w:ascii="宋体" w:hAnsi="宋体" w:eastAsia="宋体"/>
      <w:b/>
      <w:bCs/>
      <w:kern w:val="2"/>
      <w:sz w:val="24"/>
      <w:szCs w:val="24"/>
    </w:rPr>
  </w:style>
  <w:style w:type="paragraph" w:customStyle="1" w:styleId="78">
    <w:name w:val="YL三级"/>
    <w:basedOn w:val="1"/>
    <w:link w:val="77"/>
    <w:qFormat/>
    <w:uiPriority w:val="0"/>
    <w:pPr>
      <w:adjustRightInd w:val="0"/>
      <w:spacing w:beforeLines="50" w:afterLines="50"/>
      <w:outlineLvl w:val="2"/>
    </w:pPr>
    <w:rPr>
      <w:rFonts w:ascii="宋体" w:hAnsi="宋体"/>
      <w:b/>
      <w:bCs/>
      <w:sz w:val="24"/>
    </w:rPr>
  </w:style>
  <w:style w:type="character" w:customStyle="1" w:styleId="79">
    <w:name w:val="脚注文本 Char1"/>
    <w:uiPriority w:val="99"/>
    <w:rPr>
      <w:kern w:val="2"/>
      <w:sz w:val="18"/>
      <w:szCs w:val="18"/>
    </w:rPr>
  </w:style>
  <w:style w:type="character" w:customStyle="1" w:styleId="80">
    <w:name w:val="XN二级标题 Char"/>
    <w:link w:val="81"/>
    <w:locked/>
    <w:uiPriority w:val="0"/>
    <w:rPr>
      <w:rFonts w:ascii="仿宋" w:hAnsi="仿宋" w:eastAsia="仿宋"/>
      <w:b/>
      <w:color w:val="000000"/>
      <w:sz w:val="36"/>
      <w:szCs w:val="24"/>
    </w:rPr>
  </w:style>
  <w:style w:type="paragraph" w:customStyle="1" w:styleId="81">
    <w:name w:val="XN二级标题"/>
    <w:basedOn w:val="1"/>
    <w:link w:val="80"/>
    <w:uiPriority w:val="0"/>
    <w:pPr>
      <w:spacing w:afterLines="50"/>
      <w:jc w:val="left"/>
      <w:outlineLvl w:val="1"/>
    </w:pPr>
    <w:rPr>
      <w:rFonts w:ascii="仿宋" w:hAnsi="仿宋" w:eastAsia="仿宋"/>
      <w:b/>
      <w:color w:val="000000"/>
      <w:kern w:val="0"/>
      <w:sz w:val="36"/>
    </w:rPr>
  </w:style>
  <w:style w:type="character" w:customStyle="1" w:styleId="82">
    <w:name w:val="二级标题 Char"/>
    <w:link w:val="83"/>
    <w:uiPriority w:val="0"/>
    <w:rPr>
      <w:rFonts w:ascii="黑体" w:hAnsi="黑体" w:eastAsia="黑体"/>
      <w:b/>
      <w:kern w:val="2"/>
      <w:sz w:val="30"/>
      <w:szCs w:val="30"/>
    </w:rPr>
  </w:style>
  <w:style w:type="paragraph" w:customStyle="1" w:styleId="83">
    <w:name w:val="二级标题"/>
    <w:basedOn w:val="12"/>
    <w:link w:val="82"/>
    <w:uiPriority w:val="0"/>
    <w:pPr>
      <w:widowControl/>
      <w:spacing w:after="0" w:line="360" w:lineRule="auto"/>
      <w:ind w:left="0" w:leftChars="0"/>
    </w:pPr>
    <w:rPr>
      <w:rFonts w:ascii="黑体" w:hAnsi="黑体" w:eastAsia="黑体"/>
      <w:b/>
      <w:sz w:val="30"/>
      <w:szCs w:val="30"/>
    </w:rPr>
  </w:style>
  <w:style w:type="character" w:customStyle="1" w:styleId="84">
    <w:name w:val="图表内 Char"/>
    <w:link w:val="85"/>
    <w:locked/>
    <w:uiPriority w:val="0"/>
  </w:style>
  <w:style w:type="paragraph" w:customStyle="1" w:styleId="85">
    <w:name w:val="图表内"/>
    <w:basedOn w:val="86"/>
    <w:link w:val="84"/>
    <w:uiPriority w:val="0"/>
  </w:style>
  <w:style w:type="paragraph" w:customStyle="1" w:styleId="86">
    <w:name w:val="图表"/>
    <w:basedOn w:val="1"/>
    <w:link w:val="87"/>
    <w:uiPriority w:val="0"/>
    <w:pPr>
      <w:widowControl/>
      <w:spacing w:line="300" w:lineRule="auto"/>
      <w:ind w:firstLine="223" w:firstLineChars="106"/>
      <w:jc w:val="center"/>
    </w:pPr>
    <w:rPr>
      <w:rFonts w:ascii="宋体" w:hAnsi="宋体"/>
      <w:kern w:val="0"/>
      <w:sz w:val="20"/>
      <w:szCs w:val="20"/>
    </w:rPr>
  </w:style>
  <w:style w:type="character" w:customStyle="1" w:styleId="87">
    <w:name w:val="图表 Char"/>
    <w:link w:val="86"/>
    <w:locked/>
    <w:uiPriority w:val="0"/>
    <w:rPr>
      <w:rFonts w:ascii="宋体" w:hAnsi="宋体"/>
    </w:rPr>
  </w:style>
  <w:style w:type="character" w:customStyle="1" w:styleId="88">
    <w:name w:val="XN六级标题 Char"/>
    <w:link w:val="89"/>
    <w:locked/>
    <w:uiPriority w:val="0"/>
    <w:rPr>
      <w:rFonts w:ascii="仿宋" w:hAnsi="仿宋" w:eastAsia="仿宋"/>
      <w:color w:val="000000"/>
      <w:sz w:val="24"/>
      <w:szCs w:val="24"/>
    </w:rPr>
  </w:style>
  <w:style w:type="paragraph" w:customStyle="1" w:styleId="89">
    <w:name w:val="XN六级标题"/>
    <w:basedOn w:val="1"/>
    <w:link w:val="88"/>
    <w:uiPriority w:val="0"/>
    <w:pPr>
      <w:adjustRightInd w:val="0"/>
      <w:spacing w:afterLines="50"/>
      <w:ind w:firstLine="200" w:firstLineChars="200"/>
      <w:jc w:val="left"/>
      <w:outlineLvl w:val="5"/>
    </w:pPr>
    <w:rPr>
      <w:rFonts w:ascii="仿宋" w:hAnsi="仿宋" w:eastAsia="仿宋"/>
      <w:color w:val="000000"/>
      <w:kern w:val="0"/>
      <w:sz w:val="24"/>
    </w:rPr>
  </w:style>
  <w:style w:type="character" w:customStyle="1" w:styleId="90">
    <w:name w:val="YL二级 Char"/>
    <w:link w:val="91"/>
    <w:qFormat/>
    <w:uiPriority w:val="99"/>
    <w:rPr>
      <w:rFonts w:ascii="宋体" w:hAnsi="宋体" w:eastAsia="宋体"/>
      <w:b/>
      <w:bCs/>
      <w:kern w:val="2"/>
      <w:sz w:val="28"/>
      <w:szCs w:val="24"/>
    </w:rPr>
  </w:style>
  <w:style w:type="paragraph" w:customStyle="1" w:styleId="91">
    <w:name w:val="YL二级"/>
    <w:basedOn w:val="1"/>
    <w:link w:val="90"/>
    <w:qFormat/>
    <w:uiPriority w:val="99"/>
    <w:pPr>
      <w:adjustRightInd w:val="0"/>
      <w:spacing w:beforeLines="50" w:afterLines="50"/>
      <w:jc w:val="left"/>
      <w:outlineLvl w:val="1"/>
    </w:pPr>
    <w:rPr>
      <w:rFonts w:ascii="宋体" w:hAnsi="宋体"/>
      <w:b/>
      <w:bCs/>
      <w:sz w:val="28"/>
    </w:rPr>
  </w:style>
  <w:style w:type="character" w:customStyle="1" w:styleId="92">
    <w:name w:val="三级标题 Char"/>
    <w:link w:val="93"/>
    <w:uiPriority w:val="0"/>
    <w:rPr>
      <w:rFonts w:ascii="黑体" w:hAnsi="黑体" w:eastAsia="黑体"/>
      <w:kern w:val="2"/>
      <w:sz w:val="28"/>
      <w:szCs w:val="28"/>
    </w:rPr>
  </w:style>
  <w:style w:type="paragraph" w:customStyle="1" w:styleId="93">
    <w:name w:val="三级标题"/>
    <w:basedOn w:val="12"/>
    <w:link w:val="92"/>
    <w:uiPriority w:val="0"/>
    <w:pPr>
      <w:widowControl/>
      <w:spacing w:after="0" w:line="360" w:lineRule="auto"/>
      <w:ind w:left="0" w:leftChars="0"/>
    </w:pPr>
    <w:rPr>
      <w:rFonts w:ascii="黑体" w:hAnsi="黑体" w:eastAsia="黑体"/>
      <w:sz w:val="28"/>
      <w:szCs w:val="28"/>
    </w:rPr>
  </w:style>
  <w:style w:type="character" w:customStyle="1" w:styleId="94">
    <w:name w:val="XN表头 Char"/>
    <w:link w:val="95"/>
    <w:uiPriority w:val="0"/>
    <w:rPr>
      <w:rFonts w:ascii="Cambria" w:hAnsi="Cambria" w:eastAsia="仿宋"/>
      <w:b/>
      <w:kern w:val="2"/>
      <w:sz w:val="24"/>
    </w:rPr>
  </w:style>
  <w:style w:type="paragraph" w:customStyle="1" w:styleId="95">
    <w:name w:val="XN表头"/>
    <w:basedOn w:val="7"/>
    <w:link w:val="94"/>
    <w:qFormat/>
    <w:uiPriority w:val="0"/>
    <w:pPr>
      <w:spacing w:beforeLines="30" w:afterLines="20"/>
      <w:jc w:val="center"/>
    </w:pPr>
    <w:rPr>
      <w:rFonts w:eastAsia="仿宋"/>
      <w:b/>
      <w:sz w:val="24"/>
    </w:rPr>
  </w:style>
  <w:style w:type="character" w:customStyle="1" w:styleId="96">
    <w:name w:val="STL表头 Char"/>
    <w:link w:val="97"/>
    <w:uiPriority w:val="0"/>
    <w:rPr>
      <w:rFonts w:ascii="Cambria" w:hAnsi="Cambria" w:eastAsia="宋体" w:cs="Times New Roman"/>
      <w:b/>
      <w:kern w:val="2"/>
      <w:sz w:val="21"/>
    </w:rPr>
  </w:style>
  <w:style w:type="paragraph" w:customStyle="1" w:styleId="97">
    <w:name w:val="STL表头"/>
    <w:basedOn w:val="7"/>
    <w:link w:val="96"/>
    <w:uiPriority w:val="0"/>
    <w:pPr>
      <w:spacing w:beforeLines="20" w:afterLines="50"/>
      <w:jc w:val="center"/>
    </w:pPr>
    <w:rPr>
      <w:rFonts w:eastAsia="宋体"/>
      <w:b/>
      <w:sz w:val="21"/>
    </w:rPr>
  </w:style>
  <w:style w:type="character" w:customStyle="1" w:styleId="98">
    <w:name w:val="样式（正文） Char Char"/>
    <w:uiPriority w:val="0"/>
    <w:rPr>
      <w:rFonts w:ascii="Calibri" w:hAnsi="Calibri" w:eastAsia="宋体" w:cs="黑体"/>
      <w:kern w:val="2"/>
      <w:sz w:val="24"/>
      <w:szCs w:val="24"/>
    </w:rPr>
  </w:style>
  <w:style w:type="character" w:customStyle="1" w:styleId="99">
    <w:name w:val="count3"/>
    <w:uiPriority w:val="0"/>
  </w:style>
  <w:style w:type="character" w:customStyle="1" w:styleId="100">
    <w:name w:val="表内的 Char"/>
    <w:link w:val="101"/>
    <w:uiPriority w:val="0"/>
  </w:style>
  <w:style w:type="paragraph" w:customStyle="1" w:styleId="101">
    <w:name w:val="表内的"/>
    <w:basedOn w:val="102"/>
    <w:link w:val="100"/>
    <w:uiPriority w:val="0"/>
    <w:pPr>
      <w:ind w:firstLine="0" w:firstLineChars="0"/>
    </w:pPr>
  </w:style>
  <w:style w:type="paragraph" w:customStyle="1" w:styleId="102">
    <w:name w:val="表内"/>
    <w:basedOn w:val="1"/>
    <w:link w:val="103"/>
    <w:uiPriority w:val="0"/>
    <w:pPr>
      <w:widowControl/>
      <w:adjustRightInd w:val="0"/>
      <w:snapToGrid w:val="0"/>
      <w:spacing w:line="400" w:lineRule="exact"/>
      <w:ind w:firstLine="224" w:firstLineChars="224"/>
    </w:pPr>
    <w:rPr>
      <w:rFonts w:ascii="宋体" w:hAnsi="宋体"/>
      <w:szCs w:val="21"/>
    </w:rPr>
  </w:style>
  <w:style w:type="character" w:customStyle="1" w:styleId="103">
    <w:name w:val="表内 Char"/>
    <w:link w:val="102"/>
    <w:uiPriority w:val="0"/>
    <w:rPr>
      <w:rFonts w:ascii="宋体" w:hAnsi="宋体" w:eastAsia="宋体" w:cs="Times New Roman"/>
      <w:kern w:val="2"/>
      <w:sz w:val="21"/>
      <w:szCs w:val="21"/>
    </w:rPr>
  </w:style>
  <w:style w:type="character" w:customStyle="1" w:styleId="104">
    <w:name w:val="正文文本缩进 Char Char"/>
    <w:link w:val="105"/>
    <w:uiPriority w:val="0"/>
    <w:rPr>
      <w:rFonts w:ascii="宋体"/>
      <w:sz w:val="24"/>
      <w:szCs w:val="24"/>
    </w:rPr>
  </w:style>
  <w:style w:type="paragraph" w:customStyle="1" w:styleId="105">
    <w:name w:val="正文文本缩进1"/>
    <w:basedOn w:val="1"/>
    <w:link w:val="104"/>
    <w:uiPriority w:val="0"/>
    <w:pPr>
      <w:spacing w:before="100" w:beforeAutospacing="1" w:after="100" w:afterAutospacing="1" w:line="360" w:lineRule="auto"/>
      <w:ind w:firstLine="560" w:firstLineChars="200"/>
    </w:pPr>
    <w:rPr>
      <w:rFonts w:ascii="宋体"/>
      <w:kern w:val="0"/>
      <w:sz w:val="24"/>
    </w:rPr>
  </w:style>
  <w:style w:type="character" w:customStyle="1" w:styleId="106">
    <w:name w:val="15"/>
    <w:uiPriority w:val="0"/>
    <w:rPr>
      <w:rFonts w:hint="eastAsia" w:ascii="宋体" w:hAnsi="宋体" w:eastAsia="宋体"/>
      <w:b/>
      <w:bCs/>
      <w:color w:val="000000"/>
      <w:sz w:val="28"/>
      <w:szCs w:val="28"/>
    </w:rPr>
  </w:style>
  <w:style w:type="character" w:customStyle="1" w:styleId="107">
    <w:name w:val="YL一级 Char"/>
    <w:link w:val="108"/>
    <w:uiPriority w:val="0"/>
    <w:rPr>
      <w:rFonts w:eastAsia="宋体"/>
      <w:b/>
      <w:bCs/>
      <w:kern w:val="2"/>
      <w:sz w:val="44"/>
      <w:szCs w:val="32"/>
    </w:rPr>
  </w:style>
  <w:style w:type="paragraph" w:customStyle="1" w:styleId="108">
    <w:name w:val="YL一级"/>
    <w:basedOn w:val="1"/>
    <w:link w:val="107"/>
    <w:qFormat/>
    <w:uiPriority w:val="0"/>
    <w:pPr>
      <w:adjustRightInd w:val="0"/>
      <w:snapToGrid w:val="0"/>
      <w:spacing w:beforeLines="50" w:afterLines="50"/>
      <w:jc w:val="center"/>
      <w:outlineLvl w:val="0"/>
    </w:pPr>
    <w:rPr>
      <w:b/>
      <w:bCs/>
      <w:sz w:val="44"/>
      <w:szCs w:val="32"/>
    </w:rPr>
  </w:style>
  <w:style w:type="character" w:customStyle="1" w:styleId="109">
    <w:name w:val="正文0 Char"/>
    <w:link w:val="110"/>
    <w:uiPriority w:val="0"/>
    <w:rPr>
      <w:rFonts w:cs="宋体"/>
      <w:sz w:val="24"/>
      <w:szCs w:val="24"/>
    </w:rPr>
  </w:style>
  <w:style w:type="paragraph" w:customStyle="1" w:styleId="110">
    <w:name w:val="正文0"/>
    <w:basedOn w:val="1"/>
    <w:link w:val="109"/>
    <w:uiPriority w:val="0"/>
    <w:pPr>
      <w:adjustRightInd w:val="0"/>
      <w:snapToGrid w:val="0"/>
      <w:spacing w:line="300" w:lineRule="auto"/>
      <w:ind w:firstLine="480" w:firstLineChars="200"/>
      <w:jc w:val="left"/>
    </w:pPr>
    <w:rPr>
      <w:kern w:val="0"/>
      <w:sz w:val="24"/>
    </w:rPr>
  </w:style>
  <w:style w:type="character" w:customStyle="1" w:styleId="111">
    <w:name w:val="内容 Char Char"/>
    <w:uiPriority w:val="0"/>
  </w:style>
  <w:style w:type="character" w:customStyle="1" w:styleId="112">
    <w:name w:val="样式 宋体 小四"/>
    <w:uiPriority w:val="0"/>
    <w:rPr>
      <w:rFonts w:ascii="宋体" w:hAnsi="宋体"/>
      <w:sz w:val="24"/>
    </w:rPr>
  </w:style>
  <w:style w:type="character" w:customStyle="1" w:styleId="113">
    <w:name w:val="文字 Char"/>
    <w:link w:val="114"/>
    <w:uiPriority w:val="0"/>
    <w:rPr>
      <w:rFonts w:ascii="Calibri" w:hAnsi="Calibri" w:eastAsia="宋体" w:cs="Times New Roman"/>
      <w:bCs/>
      <w:color w:val="000000"/>
      <w:kern w:val="2"/>
      <w:sz w:val="24"/>
      <w:szCs w:val="24"/>
    </w:rPr>
  </w:style>
  <w:style w:type="paragraph" w:customStyle="1" w:styleId="114">
    <w:name w:val="文字"/>
    <w:basedOn w:val="67"/>
    <w:link w:val="113"/>
    <w:uiPriority w:val="0"/>
    <w:pPr>
      <w:spacing w:line="400" w:lineRule="exact"/>
      <w:ind w:firstLine="538"/>
    </w:pPr>
    <w:rPr>
      <w:bCs/>
      <w:color w:val="000000"/>
    </w:rPr>
  </w:style>
  <w:style w:type="character" w:customStyle="1" w:styleId="115">
    <w:name w:val="a） Char"/>
    <w:link w:val="116"/>
    <w:uiPriority w:val="0"/>
    <w:rPr>
      <w:rFonts w:ascii="宋体" w:hAnsi="宋体"/>
      <w:b/>
      <w:color w:val="000000"/>
      <w:kern w:val="2"/>
      <w:sz w:val="28"/>
      <w:szCs w:val="28"/>
    </w:rPr>
  </w:style>
  <w:style w:type="paragraph" w:customStyle="1" w:styleId="116">
    <w:name w:val="a）"/>
    <w:basedOn w:val="1"/>
    <w:link w:val="115"/>
    <w:uiPriority w:val="0"/>
    <w:pPr>
      <w:spacing w:line="360" w:lineRule="auto"/>
      <w:ind w:firstLine="551" w:firstLineChars="196"/>
    </w:pPr>
    <w:rPr>
      <w:rFonts w:ascii="宋体" w:hAnsi="宋体"/>
      <w:b/>
      <w:color w:val="000000"/>
      <w:sz w:val="28"/>
      <w:szCs w:val="28"/>
    </w:rPr>
  </w:style>
  <w:style w:type="character" w:customStyle="1" w:styleId="117">
    <w:name w:val="样式3 Char"/>
    <w:link w:val="118"/>
    <w:locked/>
    <w:uiPriority w:val="0"/>
    <w:rPr>
      <w:sz w:val="24"/>
      <w:szCs w:val="24"/>
    </w:rPr>
  </w:style>
  <w:style w:type="paragraph" w:customStyle="1" w:styleId="118">
    <w:name w:val="样式3"/>
    <w:basedOn w:val="1"/>
    <w:link w:val="117"/>
    <w:qFormat/>
    <w:uiPriority w:val="0"/>
    <w:pPr>
      <w:widowControl/>
      <w:spacing w:line="300" w:lineRule="auto"/>
      <w:ind w:firstLine="224" w:firstLineChars="224"/>
    </w:pPr>
    <w:rPr>
      <w:kern w:val="0"/>
      <w:sz w:val="24"/>
    </w:rPr>
  </w:style>
  <w:style w:type="character" w:customStyle="1" w:styleId="119">
    <w:name w:val="1） Char Char"/>
    <w:uiPriority w:val="0"/>
    <w:rPr>
      <w:rFonts w:ascii="宋体" w:hAnsi="宋体"/>
      <w:b/>
      <w:color w:val="000000"/>
      <w:kern w:val="2"/>
      <w:sz w:val="24"/>
      <w:szCs w:val="24"/>
    </w:rPr>
  </w:style>
  <w:style w:type="character" w:customStyle="1" w:styleId="120">
    <w:name w:val="表名 Char"/>
    <w:link w:val="121"/>
    <w:uiPriority w:val="99"/>
    <w:rPr>
      <w:rFonts w:ascii="黑体" w:hAnsi="黑体" w:eastAsia="黑体"/>
      <w:kern w:val="2"/>
      <w:sz w:val="21"/>
      <w:szCs w:val="21"/>
    </w:rPr>
  </w:style>
  <w:style w:type="paragraph" w:customStyle="1" w:styleId="121">
    <w:name w:val="表名"/>
    <w:basedOn w:val="1"/>
    <w:link w:val="120"/>
    <w:uiPriority w:val="99"/>
    <w:pPr>
      <w:adjustRightInd w:val="0"/>
      <w:snapToGrid w:val="0"/>
      <w:spacing w:line="400" w:lineRule="exact"/>
      <w:jc w:val="center"/>
    </w:pPr>
    <w:rPr>
      <w:rFonts w:ascii="黑体" w:hAnsi="黑体" w:eastAsia="黑体"/>
      <w:szCs w:val="21"/>
    </w:rPr>
  </w:style>
  <w:style w:type="character" w:customStyle="1" w:styleId="122">
    <w:name w:val="图表名1 Char"/>
    <w:link w:val="123"/>
    <w:locked/>
    <w:uiPriority w:val="0"/>
  </w:style>
  <w:style w:type="paragraph" w:customStyle="1" w:styleId="123">
    <w:name w:val="图表名1"/>
    <w:basedOn w:val="124"/>
    <w:link w:val="122"/>
    <w:uiPriority w:val="0"/>
    <w:pPr>
      <w:ind w:left="100" w:leftChars="100" w:right="100" w:rightChars="100" w:firstLine="224"/>
    </w:pPr>
  </w:style>
  <w:style w:type="paragraph" w:customStyle="1" w:styleId="124">
    <w:name w:val="图表名"/>
    <w:basedOn w:val="1"/>
    <w:link w:val="125"/>
    <w:uiPriority w:val="0"/>
    <w:pPr>
      <w:widowControl/>
      <w:spacing w:line="120" w:lineRule="auto"/>
      <w:ind w:firstLine="472" w:firstLineChars="224"/>
      <w:jc w:val="center"/>
    </w:pPr>
    <w:rPr>
      <w:rFonts w:ascii="宋体" w:hAnsi="宋体"/>
      <w:b/>
      <w:bCs/>
      <w:kern w:val="0"/>
      <w:sz w:val="20"/>
      <w:szCs w:val="21"/>
    </w:rPr>
  </w:style>
  <w:style w:type="character" w:customStyle="1" w:styleId="125">
    <w:name w:val="图表名 Char"/>
    <w:link w:val="124"/>
    <w:locked/>
    <w:uiPriority w:val="0"/>
    <w:rPr>
      <w:rFonts w:ascii="宋体" w:hAnsi="宋体"/>
      <w:b/>
      <w:bCs/>
      <w:szCs w:val="21"/>
    </w:rPr>
  </w:style>
  <w:style w:type="character" w:customStyle="1" w:styleId="126">
    <w:name w:val="YL图内容 Char Char"/>
    <w:uiPriority w:val="0"/>
    <w:rPr>
      <w:rFonts w:ascii="仿宋" w:hAnsi="仿宋" w:eastAsia="仿宋" w:cs="Times New Roman"/>
      <w:color w:val="000000"/>
      <w:szCs w:val="24"/>
    </w:rPr>
  </w:style>
  <w:style w:type="character" w:customStyle="1" w:styleId="127">
    <w:name w:val="YL表头 Char"/>
    <w:link w:val="128"/>
    <w:uiPriority w:val="0"/>
    <w:rPr>
      <w:rFonts w:ascii="Cambria" w:hAnsi="Cambria" w:eastAsia="宋体"/>
      <w:b/>
      <w:kern w:val="2"/>
      <w:sz w:val="21"/>
    </w:rPr>
  </w:style>
  <w:style w:type="paragraph" w:customStyle="1" w:styleId="128">
    <w:name w:val="YL表头"/>
    <w:basedOn w:val="7"/>
    <w:link w:val="127"/>
    <w:qFormat/>
    <w:uiPriority w:val="0"/>
    <w:pPr>
      <w:spacing w:beforeLines="30" w:afterLines="20"/>
      <w:jc w:val="center"/>
    </w:pPr>
    <w:rPr>
      <w:rFonts w:eastAsia="宋体"/>
      <w:b/>
      <w:sz w:val="21"/>
    </w:rPr>
  </w:style>
  <w:style w:type="character" w:customStyle="1" w:styleId="129">
    <w:name w:val="表头五号 Char"/>
    <w:link w:val="130"/>
    <w:uiPriority w:val="0"/>
    <w:rPr>
      <w:rFonts w:ascii="宋体" w:hAnsi="宋体"/>
      <w:b/>
      <w:kern w:val="2"/>
      <w:sz w:val="21"/>
      <w:szCs w:val="24"/>
    </w:rPr>
  </w:style>
  <w:style w:type="paragraph" w:customStyle="1" w:styleId="130">
    <w:name w:val="表头五号"/>
    <w:basedOn w:val="1"/>
    <w:link w:val="129"/>
    <w:qFormat/>
    <w:uiPriority w:val="0"/>
    <w:pPr>
      <w:autoSpaceDE w:val="0"/>
      <w:autoSpaceDN w:val="0"/>
      <w:spacing w:beforeLines="50" w:line="300" w:lineRule="auto"/>
      <w:ind w:firstLine="422" w:firstLineChars="200"/>
      <w:jc w:val="center"/>
    </w:pPr>
    <w:rPr>
      <w:rFonts w:ascii="宋体" w:hAnsi="宋体"/>
      <w:b/>
    </w:rPr>
  </w:style>
  <w:style w:type="character" w:customStyle="1" w:styleId="131">
    <w:name w:val="表格内 Char Char"/>
    <w:uiPriority w:val="0"/>
    <w:rPr>
      <w:rFonts w:ascii="宋体" w:hAnsi="宋体" w:eastAsia="宋体" w:cs="Times New Roman"/>
      <w:kern w:val="2"/>
      <w:sz w:val="21"/>
      <w:szCs w:val="21"/>
    </w:rPr>
  </w:style>
  <w:style w:type="character" w:customStyle="1" w:styleId="132">
    <w:name w:val="text1"/>
    <w:uiPriority w:val="0"/>
    <w:rPr>
      <w:rFonts w:hint="default" w:ascii="Verdana" w:hAnsi="Verdana"/>
      <w:color w:val="222222"/>
      <w:sz w:val="18"/>
      <w:szCs w:val="18"/>
      <w:u w:val="none"/>
    </w:rPr>
  </w:style>
  <w:style w:type="character" w:customStyle="1" w:styleId="133">
    <w:name w:val="图表n Char"/>
    <w:link w:val="134"/>
    <w:locked/>
    <w:uiPriority w:val="0"/>
  </w:style>
  <w:style w:type="paragraph" w:customStyle="1" w:styleId="134">
    <w:name w:val="图表n"/>
    <w:basedOn w:val="85"/>
    <w:link w:val="133"/>
    <w:uiPriority w:val="0"/>
    <w:pPr>
      <w:framePr w:hSpace="180" w:wrap="around" w:vAnchor="text" w:hAnchor="margin" w:x="-30" w:y="2"/>
      <w:jc w:val="both"/>
    </w:pPr>
  </w:style>
  <w:style w:type="character" w:customStyle="1" w:styleId="135">
    <w:name w:val="YL图内容 Char"/>
    <w:link w:val="136"/>
    <w:qFormat/>
    <w:uiPriority w:val="99"/>
    <w:rPr>
      <w:rFonts w:ascii="仿宋" w:hAnsi="仿宋" w:eastAsia="宋体"/>
      <w:color w:val="000000"/>
      <w:kern w:val="2"/>
      <w:sz w:val="21"/>
      <w:szCs w:val="24"/>
    </w:rPr>
  </w:style>
  <w:style w:type="paragraph" w:customStyle="1" w:styleId="136">
    <w:name w:val="YL图内容"/>
    <w:basedOn w:val="1"/>
    <w:link w:val="135"/>
    <w:qFormat/>
    <w:uiPriority w:val="99"/>
    <w:pPr>
      <w:spacing w:line="264" w:lineRule="auto"/>
      <w:jc w:val="center"/>
    </w:pPr>
    <w:rPr>
      <w:rFonts w:ascii="仿宋" w:hAnsi="仿宋"/>
      <w:color w:val="000000"/>
    </w:rPr>
  </w:style>
  <w:style w:type="character" w:customStyle="1" w:styleId="137">
    <w:name w:val="① Char"/>
    <w:link w:val="138"/>
    <w:uiPriority w:val="0"/>
    <w:rPr>
      <w:rFonts w:ascii="Calibri" w:hAnsi="Calibri" w:eastAsia="宋体" w:cs="Times New Roman"/>
      <w:kern w:val="2"/>
      <w:sz w:val="24"/>
      <w:szCs w:val="22"/>
    </w:rPr>
  </w:style>
  <w:style w:type="paragraph" w:customStyle="1" w:styleId="138">
    <w:name w:val="①"/>
    <w:basedOn w:val="1"/>
    <w:link w:val="137"/>
    <w:uiPriority w:val="0"/>
    <w:pPr>
      <w:widowControl/>
      <w:spacing w:line="400" w:lineRule="exact"/>
      <w:ind w:firstLine="420" w:firstLineChars="224"/>
    </w:pPr>
    <w:rPr>
      <w:rFonts w:ascii="Calibri" w:hAnsi="Calibri"/>
      <w:sz w:val="24"/>
      <w:szCs w:val="22"/>
    </w:rPr>
  </w:style>
  <w:style w:type="character" w:customStyle="1" w:styleId="139">
    <w:name w:val="表头 Char"/>
    <w:link w:val="140"/>
    <w:uiPriority w:val="0"/>
    <w:rPr>
      <w:rFonts w:ascii="黑体" w:hAnsi="黑体" w:eastAsia="黑体" w:cs="Times New Roman"/>
      <w:kern w:val="2"/>
      <w:sz w:val="21"/>
      <w:szCs w:val="21"/>
    </w:rPr>
  </w:style>
  <w:style w:type="paragraph" w:customStyle="1" w:styleId="140">
    <w:name w:val="表头"/>
    <w:basedOn w:val="1"/>
    <w:link w:val="139"/>
    <w:qFormat/>
    <w:uiPriority w:val="0"/>
    <w:pPr>
      <w:widowControl/>
      <w:adjustRightInd w:val="0"/>
      <w:snapToGrid w:val="0"/>
      <w:spacing w:line="400" w:lineRule="exact"/>
      <w:ind w:firstLine="224" w:firstLineChars="224"/>
      <w:jc w:val="center"/>
    </w:pPr>
    <w:rPr>
      <w:rFonts w:ascii="黑体" w:hAnsi="黑体" w:eastAsia="黑体"/>
      <w:szCs w:val="21"/>
    </w:rPr>
  </w:style>
  <w:style w:type="character" w:customStyle="1" w:styleId="141">
    <w:name w:val="XN正文 Char"/>
    <w:link w:val="142"/>
    <w:locked/>
    <w:uiPriority w:val="0"/>
    <w:rPr>
      <w:rFonts w:ascii="仿宋" w:hAnsi="仿宋" w:eastAsia="仿宋"/>
      <w:color w:val="000000"/>
      <w:sz w:val="24"/>
      <w:szCs w:val="24"/>
    </w:rPr>
  </w:style>
  <w:style w:type="paragraph" w:customStyle="1" w:styleId="142">
    <w:name w:val="XN正文"/>
    <w:basedOn w:val="1"/>
    <w:link w:val="141"/>
    <w:uiPriority w:val="0"/>
    <w:pPr>
      <w:spacing w:line="300" w:lineRule="auto"/>
      <w:ind w:firstLine="200" w:firstLineChars="200"/>
    </w:pPr>
    <w:rPr>
      <w:rFonts w:ascii="仿宋" w:hAnsi="仿宋" w:eastAsia="仿宋"/>
      <w:color w:val="000000"/>
      <w:kern w:val="0"/>
      <w:sz w:val="24"/>
    </w:rPr>
  </w:style>
  <w:style w:type="character" w:customStyle="1" w:styleId="143">
    <w:name w:val="表格内 Char"/>
    <w:link w:val="144"/>
    <w:uiPriority w:val="0"/>
  </w:style>
  <w:style w:type="paragraph" w:customStyle="1" w:styleId="144">
    <w:name w:val="表格内"/>
    <w:basedOn w:val="101"/>
    <w:link w:val="143"/>
    <w:qFormat/>
    <w:uiPriority w:val="0"/>
  </w:style>
  <w:style w:type="character" w:customStyle="1" w:styleId="145">
    <w:name w:val="XN图标 Char"/>
    <w:link w:val="146"/>
    <w:qFormat/>
    <w:locked/>
    <w:uiPriority w:val="0"/>
    <w:rPr>
      <w:rFonts w:ascii="仿宋" w:hAnsi="仿宋" w:eastAsia="仿宋"/>
      <w:color w:val="000000"/>
      <w:szCs w:val="24"/>
    </w:rPr>
  </w:style>
  <w:style w:type="paragraph" w:customStyle="1" w:styleId="146">
    <w:name w:val="XN图标"/>
    <w:basedOn w:val="1"/>
    <w:link w:val="145"/>
    <w:qFormat/>
    <w:uiPriority w:val="0"/>
    <w:pPr>
      <w:spacing w:line="264" w:lineRule="auto"/>
      <w:jc w:val="center"/>
    </w:pPr>
    <w:rPr>
      <w:rFonts w:ascii="仿宋" w:hAnsi="仿宋" w:eastAsia="仿宋"/>
      <w:color w:val="000000"/>
      <w:kern w:val="0"/>
      <w:sz w:val="20"/>
    </w:rPr>
  </w:style>
  <w:style w:type="character" w:customStyle="1" w:styleId="147">
    <w:name w:val="文 Char Char"/>
    <w:qFormat/>
    <w:uiPriority w:val="0"/>
    <w:rPr>
      <w:rFonts w:ascii="宋体" w:hAnsi="宋体" w:eastAsia="宋体" w:cs="黑体"/>
      <w:kern w:val="2"/>
      <w:sz w:val="24"/>
      <w:szCs w:val="24"/>
    </w:rPr>
  </w:style>
  <w:style w:type="character" w:customStyle="1" w:styleId="148">
    <w:name w:val="YL四级 Char"/>
    <w:link w:val="149"/>
    <w:uiPriority w:val="0"/>
    <w:rPr>
      <w:rFonts w:ascii="仿宋" w:hAnsi="仿宋" w:eastAsia="宋体"/>
      <w:b/>
      <w:color w:val="000000"/>
      <w:kern w:val="2"/>
      <w:sz w:val="24"/>
      <w:szCs w:val="24"/>
    </w:rPr>
  </w:style>
  <w:style w:type="paragraph" w:customStyle="1" w:styleId="149">
    <w:name w:val="YL四级"/>
    <w:basedOn w:val="1"/>
    <w:link w:val="148"/>
    <w:qFormat/>
    <w:uiPriority w:val="0"/>
    <w:pPr>
      <w:spacing w:beforeLines="50" w:afterLines="50"/>
      <w:ind w:firstLine="200" w:firstLineChars="200"/>
      <w:jc w:val="left"/>
      <w:outlineLvl w:val="3"/>
    </w:pPr>
    <w:rPr>
      <w:rFonts w:ascii="仿宋" w:hAnsi="仿宋"/>
      <w:b/>
      <w:color w:val="000000"/>
      <w:sz w:val="24"/>
    </w:rPr>
  </w:style>
  <w:style w:type="character" w:customStyle="1" w:styleId="150">
    <w:name w:val="1） Char"/>
    <w:link w:val="151"/>
    <w:qFormat/>
    <w:uiPriority w:val="0"/>
    <w:rPr>
      <w:rFonts w:ascii="宋体" w:hAnsi="宋体" w:eastAsia="宋体" w:cs="Times New Roman"/>
      <w:b/>
      <w:color w:val="000000"/>
      <w:kern w:val="2"/>
      <w:sz w:val="24"/>
      <w:szCs w:val="22"/>
    </w:rPr>
  </w:style>
  <w:style w:type="paragraph" w:customStyle="1" w:styleId="151">
    <w:name w:val="1）"/>
    <w:basedOn w:val="1"/>
    <w:link w:val="150"/>
    <w:qFormat/>
    <w:uiPriority w:val="0"/>
    <w:pPr>
      <w:widowControl/>
      <w:spacing w:line="400" w:lineRule="exact"/>
      <w:ind w:firstLine="482" w:firstLineChars="200"/>
    </w:pPr>
    <w:rPr>
      <w:rFonts w:ascii="宋体" w:hAnsi="宋体"/>
      <w:b/>
      <w:color w:val="000000"/>
      <w:sz w:val="24"/>
      <w:szCs w:val="22"/>
    </w:rPr>
  </w:style>
  <w:style w:type="character" w:customStyle="1" w:styleId="152">
    <w:name w:val="招股正文格式 Char"/>
    <w:link w:val="153"/>
    <w:uiPriority w:val="0"/>
    <w:rPr>
      <w:sz w:val="24"/>
    </w:rPr>
  </w:style>
  <w:style w:type="paragraph" w:customStyle="1" w:styleId="153">
    <w:name w:val="招股正文格式"/>
    <w:basedOn w:val="1"/>
    <w:link w:val="152"/>
    <w:qFormat/>
    <w:uiPriority w:val="0"/>
    <w:pPr>
      <w:spacing w:beforeLines="50" w:line="360" w:lineRule="auto"/>
      <w:ind w:firstLine="200" w:firstLineChars="200"/>
    </w:pPr>
    <w:rPr>
      <w:kern w:val="0"/>
      <w:sz w:val="24"/>
      <w:szCs w:val="20"/>
    </w:rPr>
  </w:style>
  <w:style w:type="character" w:customStyle="1" w:styleId="154">
    <w:name w:val="title10"/>
    <w:qFormat/>
    <w:uiPriority w:val="0"/>
  </w:style>
  <w:style w:type="character" w:customStyle="1" w:styleId="155">
    <w:name w:val="图表内容 Char"/>
    <w:link w:val="156"/>
    <w:locked/>
    <w:uiPriority w:val="0"/>
  </w:style>
  <w:style w:type="paragraph" w:customStyle="1" w:styleId="156">
    <w:name w:val="图表内容"/>
    <w:basedOn w:val="123"/>
    <w:link w:val="155"/>
    <w:uiPriority w:val="0"/>
    <w:pPr>
      <w:ind w:left="99" w:leftChars="47" w:right="210" w:firstLine="0" w:firstLineChars="0"/>
    </w:pPr>
  </w:style>
  <w:style w:type="character" w:customStyle="1" w:styleId="157">
    <w:name w:val="文 Char"/>
    <w:link w:val="158"/>
    <w:qFormat/>
    <w:uiPriority w:val="0"/>
    <w:rPr>
      <w:rFonts w:ascii="宋体" w:hAnsi="宋体" w:eastAsia="宋体" w:cs="Times New Roman"/>
      <w:kern w:val="2"/>
      <w:sz w:val="24"/>
      <w:szCs w:val="24"/>
    </w:rPr>
  </w:style>
  <w:style w:type="paragraph" w:customStyle="1" w:styleId="158">
    <w:name w:val="文"/>
    <w:basedOn w:val="159"/>
    <w:link w:val="157"/>
    <w:qFormat/>
    <w:uiPriority w:val="0"/>
    <w:rPr>
      <w:rFonts w:ascii="宋体" w:hAnsi="宋体"/>
    </w:rPr>
  </w:style>
  <w:style w:type="paragraph" w:customStyle="1" w:styleId="159">
    <w:name w:val="内容"/>
    <w:basedOn w:val="67"/>
    <w:link w:val="160"/>
    <w:uiPriority w:val="0"/>
    <w:pPr>
      <w:spacing w:line="400" w:lineRule="exact"/>
      <w:ind w:firstLine="538"/>
    </w:pPr>
  </w:style>
  <w:style w:type="character" w:customStyle="1" w:styleId="160">
    <w:name w:val="内容 Char"/>
    <w:link w:val="159"/>
    <w:qFormat/>
    <w:uiPriority w:val="0"/>
  </w:style>
  <w:style w:type="character" w:customStyle="1" w:styleId="161">
    <w:name w:val="STL图表内容 Char Char"/>
    <w:qFormat/>
    <w:uiPriority w:val="0"/>
    <w:rPr>
      <w:rFonts w:ascii="宋体" w:hAnsi="宋体"/>
      <w:color w:val="000000"/>
      <w:szCs w:val="24"/>
    </w:rPr>
  </w:style>
  <w:style w:type="character" w:customStyle="1" w:styleId="162">
    <w:name w:val="样式2 Char"/>
    <w:locked/>
    <w:uiPriority w:val="0"/>
    <w:rPr>
      <w:rFonts w:ascii="Calibri" w:hAnsi="Calibri" w:eastAsia="宋体" w:cs="Times New Roman"/>
      <w:b/>
      <w:bCs/>
      <w:kern w:val="2"/>
      <w:sz w:val="32"/>
      <w:szCs w:val="32"/>
    </w:rPr>
  </w:style>
  <w:style w:type="character" w:customStyle="1" w:styleId="163">
    <w:name w:val="一级标题 Char"/>
    <w:link w:val="164"/>
    <w:uiPriority w:val="0"/>
    <w:rPr>
      <w:rFonts w:ascii="黑体" w:hAnsi="黑体" w:eastAsia="黑体"/>
      <w:b/>
      <w:kern w:val="2"/>
      <w:sz w:val="36"/>
      <w:szCs w:val="36"/>
    </w:rPr>
  </w:style>
  <w:style w:type="paragraph" w:customStyle="1" w:styleId="164">
    <w:name w:val="一级标题"/>
    <w:basedOn w:val="12"/>
    <w:link w:val="163"/>
    <w:uiPriority w:val="0"/>
    <w:pPr>
      <w:widowControl/>
      <w:spacing w:after="0" w:line="360" w:lineRule="auto"/>
      <w:ind w:left="0" w:leftChars="0"/>
    </w:pPr>
    <w:rPr>
      <w:rFonts w:ascii="黑体" w:hAnsi="黑体" w:eastAsia="黑体"/>
      <w:b/>
      <w:sz w:val="36"/>
      <w:szCs w:val="36"/>
    </w:rPr>
  </w:style>
  <w:style w:type="character" w:customStyle="1" w:styleId="165">
    <w:name w:val="YL六级 Char"/>
    <w:link w:val="166"/>
    <w:qFormat/>
    <w:uiPriority w:val="0"/>
    <w:rPr>
      <w:rFonts w:ascii="仿宋" w:hAnsi="仿宋" w:eastAsia="宋体"/>
      <w:b/>
      <w:color w:val="000000"/>
      <w:kern w:val="2"/>
      <w:sz w:val="24"/>
      <w:szCs w:val="24"/>
    </w:rPr>
  </w:style>
  <w:style w:type="paragraph" w:customStyle="1" w:styleId="166">
    <w:name w:val="YL六级"/>
    <w:basedOn w:val="1"/>
    <w:link w:val="165"/>
    <w:qFormat/>
    <w:uiPriority w:val="0"/>
    <w:pPr>
      <w:adjustRightInd w:val="0"/>
      <w:spacing w:beforeLines="50" w:afterLines="50"/>
      <w:ind w:firstLine="200" w:firstLineChars="200"/>
      <w:jc w:val="left"/>
      <w:outlineLvl w:val="5"/>
    </w:pPr>
    <w:rPr>
      <w:rFonts w:ascii="仿宋" w:hAnsi="仿宋"/>
      <w:b/>
      <w:color w:val="000000"/>
      <w:sz w:val="24"/>
    </w:rPr>
  </w:style>
  <w:style w:type="character" w:customStyle="1" w:styleId="167">
    <w:name w:val="STL图表内容 Char"/>
    <w:link w:val="168"/>
    <w:qFormat/>
    <w:uiPriority w:val="0"/>
    <w:rPr>
      <w:rFonts w:ascii="宋体" w:hAnsi="宋体" w:eastAsia="宋体" w:cs="Times New Roman"/>
      <w:color w:val="000000"/>
      <w:kern w:val="2"/>
      <w:sz w:val="21"/>
      <w:szCs w:val="24"/>
    </w:rPr>
  </w:style>
  <w:style w:type="paragraph" w:customStyle="1" w:styleId="168">
    <w:name w:val="STL图表内容"/>
    <w:basedOn w:val="1"/>
    <w:link w:val="167"/>
    <w:uiPriority w:val="0"/>
    <w:pPr>
      <w:tabs>
        <w:tab w:val="left" w:pos="142"/>
      </w:tabs>
      <w:adjustRightInd w:val="0"/>
      <w:snapToGrid w:val="0"/>
      <w:spacing w:line="264" w:lineRule="auto"/>
      <w:jc w:val="center"/>
    </w:pPr>
    <w:rPr>
      <w:rFonts w:ascii="宋体" w:hAnsi="宋体"/>
      <w:color w:val="000000"/>
    </w:rPr>
  </w:style>
  <w:style w:type="paragraph" w:customStyle="1" w:styleId="169">
    <w:name w:val="样式7"/>
    <w:basedOn w:val="1"/>
    <w:next w:val="1"/>
    <w:qFormat/>
    <w:uiPriority w:val="0"/>
    <w:pPr>
      <w:ind w:firstLine="200" w:firstLineChars="200"/>
      <w:jc w:val="left"/>
    </w:pPr>
  </w:style>
  <w:style w:type="paragraph" w:customStyle="1" w:styleId="170">
    <w:name w:val="缺省文本"/>
    <w:basedOn w:val="1"/>
    <w:uiPriority w:val="0"/>
    <w:pPr>
      <w:autoSpaceDE w:val="0"/>
      <w:autoSpaceDN w:val="0"/>
      <w:adjustRightInd w:val="0"/>
      <w:jc w:val="left"/>
    </w:pPr>
    <w:rPr>
      <w:kern w:val="0"/>
      <w:sz w:val="24"/>
      <w:szCs w:val="20"/>
    </w:rPr>
  </w:style>
  <w:style w:type="paragraph" w:customStyle="1" w:styleId="171">
    <w:name w:val="XN五级标题"/>
    <w:basedOn w:val="1"/>
    <w:uiPriority w:val="0"/>
    <w:pPr>
      <w:adjustRightInd w:val="0"/>
      <w:spacing w:afterLines="50"/>
      <w:ind w:firstLine="200" w:firstLineChars="200"/>
      <w:outlineLvl w:val="4"/>
    </w:pPr>
    <w:rPr>
      <w:rFonts w:ascii="仿宋" w:hAnsi="仿宋" w:eastAsia="仿宋"/>
      <w:b/>
      <w:color w:val="000000"/>
      <w:sz w:val="24"/>
    </w:rPr>
  </w:style>
  <w:style w:type="paragraph" w:customStyle="1" w:styleId="172">
    <w:name w:val="p19"/>
    <w:basedOn w:val="1"/>
    <w:qFormat/>
    <w:uiPriority w:val="0"/>
    <w:pPr>
      <w:widowControl/>
      <w:spacing w:line="360" w:lineRule="auto"/>
    </w:pPr>
    <w:rPr>
      <w:rFonts w:ascii="黑体" w:hAnsi="宋体" w:eastAsia="黑体" w:cs="宋体"/>
      <w:kern w:val="0"/>
      <w:sz w:val="28"/>
      <w:szCs w:val="28"/>
    </w:rPr>
  </w:style>
  <w:style w:type="paragraph" w:customStyle="1" w:styleId="173">
    <w:name w:val="表格内容陈"/>
    <w:basedOn w:val="1"/>
    <w:qFormat/>
    <w:uiPriority w:val="0"/>
    <w:pPr>
      <w:widowControl/>
      <w:adjustRightInd w:val="0"/>
      <w:snapToGrid w:val="0"/>
      <w:spacing w:line="360" w:lineRule="exact"/>
      <w:jc w:val="left"/>
    </w:pPr>
    <w:rPr>
      <w:rFonts w:cs="宋体"/>
      <w:color w:val="000000"/>
      <w:kern w:val="0"/>
      <w:szCs w:val="21"/>
    </w:rPr>
  </w:style>
  <w:style w:type="paragraph" w:customStyle="1" w:styleId="174">
    <w:name w:val="列出段落2"/>
    <w:basedOn w:val="1"/>
    <w:uiPriority w:val="0"/>
    <w:pPr>
      <w:ind w:firstLine="420" w:firstLineChars="200"/>
    </w:pPr>
    <w:rPr>
      <w:szCs w:val="20"/>
    </w:rPr>
  </w:style>
  <w:style w:type="paragraph" w:customStyle="1" w:styleId="175">
    <w:name w:val="p17"/>
    <w:basedOn w:val="1"/>
    <w:uiPriority w:val="0"/>
    <w:pPr>
      <w:widowControl/>
      <w:spacing w:line="300" w:lineRule="auto"/>
      <w:ind w:firstLine="470"/>
    </w:pPr>
    <w:rPr>
      <w:kern w:val="0"/>
      <w:sz w:val="24"/>
    </w:rPr>
  </w:style>
  <w:style w:type="paragraph" w:customStyle="1" w:styleId="176">
    <w:name w:val="列出段落1"/>
    <w:basedOn w:val="1"/>
    <w:uiPriority w:val="99"/>
    <w:pPr>
      <w:ind w:firstLine="420" w:firstLineChars="200"/>
    </w:pPr>
  </w:style>
  <w:style w:type="paragraph" w:customStyle="1" w:styleId="177">
    <w:name w:val="xl24"/>
    <w:basedOn w:val="1"/>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color w:val="000000"/>
      <w:kern w:val="0"/>
      <w:sz w:val="18"/>
      <w:szCs w:val="18"/>
    </w:rPr>
  </w:style>
  <w:style w:type="paragraph" w:customStyle="1" w:styleId="178">
    <w:name w:val="表样式1"/>
    <w:basedOn w:val="1"/>
    <w:qFormat/>
    <w:uiPriority w:val="0"/>
    <w:pPr>
      <w:spacing w:line="400" w:lineRule="exact"/>
      <w:jc w:val="center"/>
    </w:pPr>
    <w:rPr>
      <w:b/>
      <w:bCs/>
      <w:color w:val="000000"/>
      <w:szCs w:val="24"/>
    </w:rPr>
  </w:style>
  <w:style w:type="paragraph" w:customStyle="1" w:styleId="179">
    <w:name w:val="p18"/>
    <w:basedOn w:val="1"/>
    <w:uiPriority w:val="0"/>
    <w:pPr>
      <w:widowControl/>
      <w:spacing w:line="360" w:lineRule="auto"/>
      <w:ind w:firstLine="412"/>
    </w:pPr>
    <w:rPr>
      <w:rFonts w:ascii="宋体" w:hAnsi="宋体" w:cs="宋体"/>
      <w:b/>
      <w:bCs/>
      <w:color w:val="000000"/>
      <w:kern w:val="0"/>
      <w:sz w:val="28"/>
      <w:szCs w:val="28"/>
    </w:rPr>
  </w:style>
  <w:style w:type="paragraph" w:customStyle="1" w:styleId="180">
    <w:name w:val="album-div"/>
    <w:basedOn w:val="1"/>
    <w:uiPriority w:val="0"/>
    <w:pPr>
      <w:widowControl/>
      <w:spacing w:before="100" w:beforeAutospacing="1" w:after="100" w:afterAutospacing="1"/>
      <w:jc w:val="left"/>
    </w:pPr>
    <w:rPr>
      <w:rFonts w:ascii="宋体" w:hAnsi="宋体" w:cs="宋体"/>
      <w:kern w:val="0"/>
      <w:sz w:val="24"/>
    </w:rPr>
  </w:style>
  <w:style w:type="paragraph" w:customStyle="1" w:styleId="181">
    <w:name w:val="Char Char Char Char"/>
    <w:basedOn w:val="1"/>
    <w:uiPriority w:val="0"/>
    <w:pPr>
      <w:widowControl/>
      <w:spacing w:after="160" w:line="240" w:lineRule="exact"/>
      <w:jc w:val="left"/>
    </w:pPr>
    <w:rPr>
      <w:rFonts w:ascii="Calibri" w:hAnsi="Calibri"/>
      <w:szCs w:val="20"/>
    </w:rPr>
  </w:style>
  <w:style w:type="paragraph" w:customStyle="1" w:styleId="182">
    <w:name w:val="p0"/>
    <w:basedOn w:val="1"/>
    <w:uiPriority w:val="0"/>
    <w:pPr>
      <w:widowControl/>
    </w:pPr>
    <w:rPr>
      <w:kern w:val="0"/>
      <w:szCs w:val="21"/>
    </w:rPr>
  </w:style>
  <w:style w:type="paragraph" w:customStyle="1" w:styleId="183">
    <w:name w:val="p16"/>
    <w:basedOn w:val="1"/>
    <w:uiPriority w:val="0"/>
    <w:pPr>
      <w:widowControl/>
      <w:spacing w:line="400" w:lineRule="atLeast"/>
      <w:ind w:firstLine="470"/>
    </w:pPr>
    <w:rPr>
      <w:rFonts w:ascii="Calibri" w:hAnsi="Calibri" w:cs="宋体"/>
      <w:color w:val="000000"/>
      <w:kern w:val="0"/>
      <w:sz w:val="24"/>
    </w:rPr>
  </w:style>
  <w:style w:type="paragraph" w:styleId="184">
    <w:name w:val="List Paragraph"/>
    <w:basedOn w:val="1"/>
    <w:qFormat/>
    <w:uiPriority w:val="34"/>
    <w:pPr>
      <w:ind w:firstLine="420" w:firstLineChars="200"/>
    </w:pPr>
  </w:style>
  <w:style w:type="paragraph" w:customStyle="1" w:styleId="185">
    <w:name w:val="正文文本缩进 31"/>
    <w:basedOn w:val="1"/>
    <w:uiPriority w:val="0"/>
    <w:pPr>
      <w:spacing w:after="120"/>
      <w:ind w:left="420" w:leftChars="200"/>
    </w:pPr>
    <w:rPr>
      <w:sz w:val="16"/>
      <w:szCs w:val="16"/>
    </w:rPr>
  </w:style>
  <w:style w:type="paragraph" w:customStyle="1" w:styleId="186">
    <w:name w:val="_Style 185"/>
    <w:basedOn w:val="3"/>
    <w:next w:val="1"/>
    <w:qFormat/>
    <w:uiPriority w:val="39"/>
    <w:pPr>
      <w:widowControl/>
      <w:spacing w:before="480" w:beforeAutospacing="0" w:after="0" w:afterAutospacing="0" w:line="276" w:lineRule="auto"/>
      <w:jc w:val="left"/>
      <w:outlineLvl w:val="9"/>
    </w:pPr>
    <w:rPr>
      <w:rFonts w:ascii="Cambria" w:hAnsi="Cambria" w:eastAsia="宋体" w:cs="Times New Roman"/>
      <w:color w:val="365F91"/>
      <w:kern w:val="0"/>
      <w:sz w:val="28"/>
      <w:szCs w:val="28"/>
    </w:rPr>
  </w:style>
  <w:style w:type="paragraph" w:customStyle="1" w:styleId="187">
    <w:name w:val="列出段落3"/>
    <w:basedOn w:val="1"/>
    <w:uiPriority w:val="0"/>
    <w:pPr>
      <w:ind w:firstLine="420" w:firstLineChars="200"/>
    </w:pPr>
  </w:style>
  <w:style w:type="paragraph" w:customStyle="1" w:styleId="188">
    <w:name w:val="p15"/>
    <w:basedOn w:val="1"/>
    <w:uiPriority w:val="0"/>
    <w:pPr>
      <w:widowControl/>
      <w:spacing w:line="360" w:lineRule="auto"/>
    </w:pPr>
    <w:rPr>
      <w:rFonts w:ascii="黑体" w:hAnsi="宋体" w:eastAsia="黑体" w:cs="宋体"/>
      <w:b/>
      <w:bCs/>
      <w:kern w:val="0"/>
      <w:sz w:val="30"/>
      <w:szCs w:val="30"/>
    </w:rPr>
  </w:style>
  <w:style w:type="paragraph" w:customStyle="1" w:styleId="189">
    <w:name w:val="Char Char Char1 Char"/>
    <w:basedOn w:val="1"/>
    <w:uiPriority w:val="0"/>
    <w:rPr>
      <w:rFonts w:ascii="Tahoma" w:hAnsi="Tahoma"/>
      <w:sz w:val="24"/>
      <w:szCs w:val="20"/>
    </w:rPr>
  </w:style>
  <w:style w:type="table" w:customStyle="1" w:styleId="190">
    <w:name w:val="样式1"/>
    <w:basedOn w:val="35"/>
    <w:qFormat/>
    <w:uiPriority w:val="99"/>
    <w:pPr>
      <w:jc w:val="center"/>
    </w:pPr>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DBE5F1"/>
      <w:vAlign w:val="center"/>
    </w:tcPr>
    <w:tblStylePr w:type="firstRow">
      <w:tblPr/>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191">
    <w:name w:val="样式2"/>
    <w:basedOn w:val="35"/>
    <w:qFormat/>
    <w:uiPriority w:val="99"/>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DBE5F1"/>
    </w:tcPr>
    <w:tblStylePr w:type="firstRow">
      <w:tblPr/>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wmf"/><Relationship Id="rId7" Type="http://schemas.openxmlformats.org/officeDocument/2006/relationships/oleObject" Target="embeddings/oleObject2.bin"/><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1.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落雪梨花——扬帆技术论坛更新版</Company>
  <Pages>10</Pages>
  <Words>3330</Words>
  <Characters>3515</Characters>
  <Lines>44</Lines>
  <Paragraphs>12</Paragraphs>
  <TotalTime>2</TotalTime>
  <ScaleCrop>false</ScaleCrop>
  <LinksUpToDate>false</LinksUpToDate>
  <CharactersWithSpaces>3532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2016-08-26T01:47:00Z</dcterms:created>
  <dc:creator>user</dc:creator>
  <cp:lastModifiedBy>静以修身</cp:lastModifiedBy>
  <cp:lastPrinted>2025-04-13T15:09:00Z</cp:lastPrinted>
  <dcterms:modified xsi:type="dcterms:W3CDTF">2025-07-18T07:05:26Z</dcterms:modified>
  <dc:title>社会责任报告</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E1506646E23E4740BF554B8860B63274_13</vt:lpwstr>
  </property>
  <property fmtid="{D5CDD505-2E9C-101B-9397-08002B2CF9AE}" pid="4" name="KSOTemplateDocerSaveRecord">
    <vt:lpwstr>eyJoZGlkIjoiM2E4OGI5MWEwYzQ4M2EyZDMxZDczZTRlMGI0OTRmMmUiLCJ1c2VySWQiOiI1NDg2MDM0NjIifQ==</vt:lpwstr>
  </property>
</Properties>
</file>