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3E748">
      <w:pPr>
        <w:spacing w:line="360" w:lineRule="auto"/>
        <w:rPr>
          <w:lang w:eastAsia="zh-CN"/>
        </w:rPr>
      </w:pPr>
      <w:r>
        <w:object>
          <v:shape id="_x0000_i1025" o:spt="75" type="#_x0000_t75" style="height:51.15pt;width:117.75pt;" o:ole="t" filled="f" o:preferrelative="t" stroked="f" coordsize="21600,21600">
            <v:path/>
            <v:fill on="f" focussize="0,0"/>
            <v:stroke on="f"/>
            <v:imagedata r:id="rId9" o:title=""/>
            <o:lock v:ext="edit" aspectratio="t"/>
            <w10:wrap type="none"/>
            <w10:anchorlock/>
          </v:shape>
          <o:OLEObject Type="Embed" ProgID=" " ShapeID="_x0000_i1025" DrawAspect="Content" ObjectID="_1468075726" r:id="rId8">
            <o:LockedField>false</o:LockedField>
          </o:OLEObject>
        </w:object>
      </w:r>
    </w:p>
    <w:p w14:paraId="4C5C8960">
      <w:pPr>
        <w:spacing w:line="360" w:lineRule="auto"/>
        <w:jc w:val="right"/>
        <w:rPr>
          <w:lang w:eastAsia="zh-CN"/>
        </w:rPr>
      </w:pPr>
    </w:p>
    <w:p w14:paraId="7CB31049">
      <w:pPr>
        <w:spacing w:line="360" w:lineRule="auto"/>
        <w:ind w:firstLine="880" w:firstLineChars="200"/>
        <w:jc w:val="center"/>
        <w:rPr>
          <w:rFonts w:hint="eastAsia" w:ascii="宋体" w:hAnsi="宋体"/>
          <w:b/>
          <w:sz w:val="72"/>
          <w:szCs w:val="72"/>
          <w:lang w:eastAsia="zh-CN"/>
        </w:rPr>
      </w:pPr>
      <w:r>
        <w:rPr>
          <w:rFonts w:hint="eastAsia"/>
          <w:sz w:val="44"/>
          <w:szCs w:val="44"/>
          <w:lang w:eastAsia="zh-CN"/>
        </w:rPr>
        <w:pict>
          <v:line id="_x0000_s2073" o:spid="_x0000_s2073" o:spt="20" style="position:absolute;left:0pt;margin-left:91pt;margin-top:190.85pt;height:142.65pt;width:0pt;mso-position-horizontal-relative:page;mso-position-vertical-relative:page;z-index:-251657216;mso-width-relative:page;mso-height-relative:page;" stroked="t" coordsize="21600,21600">
            <v:path arrowok="t"/>
            <v:fill focussize="0,0"/>
            <v:stroke weight="3pt" color="#4F82BD"/>
            <v:imagedata o:title=""/>
            <o:lock v:ext="edit"/>
          </v:line>
        </w:pict>
      </w:r>
      <w:r>
        <w:rPr>
          <w:rFonts w:hint="eastAsia" w:ascii="宋体" w:hAnsi="宋体"/>
          <w:b/>
          <w:sz w:val="72"/>
          <w:szCs w:val="72"/>
          <w:lang w:eastAsia="zh-CN"/>
        </w:rPr>
        <w:t>“浙江制造”认证</w:t>
      </w:r>
    </w:p>
    <w:p w14:paraId="7C84BF5F">
      <w:pPr>
        <w:spacing w:line="360" w:lineRule="auto"/>
        <w:jc w:val="center"/>
        <w:rPr>
          <w:rFonts w:ascii="宋体"/>
          <w:b/>
          <w:sz w:val="44"/>
          <w:szCs w:val="44"/>
          <w:lang w:eastAsia="zh-CN"/>
        </w:rPr>
      </w:pPr>
    </w:p>
    <w:p w14:paraId="0BAE8D49">
      <w:pPr>
        <w:spacing w:line="360" w:lineRule="auto"/>
        <w:jc w:val="center"/>
        <w:rPr>
          <w:rFonts w:hint="eastAsia" w:ascii="黑体" w:hAnsi="黑体" w:eastAsia="黑体" w:cs="黑体"/>
          <w:sz w:val="72"/>
          <w:szCs w:val="72"/>
          <w:lang w:eastAsia="zh-CN"/>
        </w:rPr>
      </w:pPr>
      <w:r>
        <w:rPr>
          <w:rFonts w:hint="eastAsia" w:ascii="宋体" w:hAnsi="宋体"/>
          <w:b/>
          <w:sz w:val="72"/>
          <w:szCs w:val="72"/>
          <w:lang w:eastAsia="zh-CN"/>
        </w:rPr>
        <w:t xml:space="preserve">  </w:t>
      </w:r>
      <w:r>
        <w:rPr>
          <w:rFonts w:ascii="宋体" w:hAnsi="宋体"/>
          <w:b/>
          <w:sz w:val="72"/>
          <w:szCs w:val="72"/>
          <w:lang w:eastAsia="zh-CN"/>
        </w:rPr>
        <w:t>20</w:t>
      </w:r>
      <w:r>
        <w:rPr>
          <w:rFonts w:hint="eastAsia" w:ascii="宋体" w:hAnsi="宋体"/>
          <w:b/>
          <w:sz w:val="72"/>
          <w:szCs w:val="72"/>
          <w:lang w:eastAsia="zh-CN"/>
        </w:rPr>
        <w:t>24年度</w:t>
      </w: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14:paraId="426EE10B">
      <w:pPr>
        <w:pStyle w:val="5"/>
        <w:rPr>
          <w:lang w:eastAsia="zh-CN"/>
        </w:rPr>
      </w:pPr>
    </w:p>
    <w:p w14:paraId="1C804B15">
      <w:pPr>
        <w:pStyle w:val="5"/>
        <w:rPr>
          <w:lang w:eastAsia="zh-CN"/>
        </w:rPr>
      </w:pPr>
    </w:p>
    <w:p w14:paraId="7823AA2E">
      <w:pPr>
        <w:spacing w:line="360" w:lineRule="auto"/>
        <w:jc w:val="center"/>
        <w:rPr>
          <w:b/>
          <w:sz w:val="48"/>
          <w:szCs w:val="48"/>
          <w:lang w:eastAsia="zh-CN"/>
        </w:rPr>
      </w:pPr>
      <w:r>
        <w:rPr>
          <w:b/>
          <w:sz w:val="48"/>
          <w:szCs w:val="48"/>
          <w:lang w:eastAsia="zh-CN"/>
        </w:rPr>
        <w:drawing>
          <wp:inline distT="0" distB="0" distL="114300" distR="114300">
            <wp:extent cx="5972810" cy="2790190"/>
            <wp:effectExtent l="0" t="0" r="8890" b="3810"/>
            <wp:docPr id="1" name="图片 1" descr="175006816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0068167741"/>
                    <pic:cNvPicPr>
                      <a:picLocks noChangeAspect="1"/>
                    </pic:cNvPicPr>
                  </pic:nvPicPr>
                  <pic:blipFill>
                    <a:blip r:embed="rId10"/>
                    <a:stretch>
                      <a:fillRect/>
                    </a:stretch>
                  </pic:blipFill>
                  <pic:spPr>
                    <a:xfrm>
                      <a:off x="0" y="0"/>
                      <a:ext cx="5972810" cy="2790190"/>
                    </a:xfrm>
                    <a:prstGeom prst="rect">
                      <a:avLst/>
                    </a:prstGeom>
                  </pic:spPr>
                </pic:pic>
              </a:graphicData>
            </a:graphic>
          </wp:inline>
        </w:drawing>
      </w:r>
    </w:p>
    <w:p w14:paraId="2BE9A72E">
      <w:pPr>
        <w:spacing w:line="360" w:lineRule="auto"/>
        <w:jc w:val="center"/>
        <w:rPr>
          <w:b/>
          <w:sz w:val="48"/>
          <w:szCs w:val="48"/>
          <w:lang w:eastAsia="zh-CN"/>
        </w:rPr>
      </w:pPr>
    </w:p>
    <w:p w14:paraId="0B44AF89">
      <w:pPr>
        <w:spacing w:line="360" w:lineRule="auto"/>
        <w:jc w:val="center"/>
        <w:rPr>
          <w:b/>
          <w:sz w:val="48"/>
          <w:szCs w:val="48"/>
          <w:lang w:eastAsia="zh-CN"/>
        </w:rPr>
      </w:pPr>
      <w:r>
        <w:rPr>
          <w:rFonts w:hint="eastAsia"/>
          <w:b/>
          <w:sz w:val="48"/>
          <w:szCs w:val="48"/>
          <w:lang w:val="en-US" w:eastAsia="zh-CN"/>
        </w:rPr>
        <w:t xml:space="preserve">  </w:t>
      </w:r>
      <w:r>
        <w:rPr>
          <w:rFonts w:hint="eastAsia"/>
          <w:b/>
          <w:sz w:val="48"/>
          <w:szCs w:val="48"/>
          <w:lang w:eastAsia="zh-CN"/>
        </w:rPr>
        <w:t>开开电缆科技有限公司</w:t>
      </w:r>
    </w:p>
    <w:p w14:paraId="650EC1F5">
      <w:pPr>
        <w:tabs>
          <w:tab w:val="left" w:pos="3243"/>
        </w:tabs>
        <w:rPr>
          <w:rFonts w:hint="eastAsia" w:ascii="宋体" w:hAnsi="宋体"/>
          <w:b/>
          <w:sz w:val="48"/>
          <w:szCs w:val="44"/>
          <w:lang w:eastAsia="zh-CN"/>
        </w:rPr>
        <w:sectPr>
          <w:footerReference r:id="rId3" w:type="default"/>
          <w:pgSz w:w="11907" w:h="16840"/>
          <w:pgMar w:top="1480" w:right="1140" w:bottom="1160" w:left="1360" w:header="849" w:footer="979" w:gutter="0"/>
          <w:pgNumType w:start="1"/>
          <w:cols w:space="720" w:num="1"/>
        </w:sectPr>
      </w:pPr>
      <w:r>
        <w:rPr>
          <w:rFonts w:hint="eastAsia"/>
          <w:lang w:eastAsia="zh-CN"/>
        </w:rPr>
        <w:tab/>
      </w:r>
      <w:bookmarkStart w:id="0" w:name="_Hlk194502589"/>
      <w:r>
        <w:rPr>
          <w:rFonts w:hint="eastAsia" w:ascii="宋体" w:hAnsi="宋体"/>
          <w:b/>
          <w:sz w:val="48"/>
          <w:szCs w:val="44"/>
          <w:lang w:eastAsia="zh-CN"/>
        </w:rPr>
        <w:t>2025年3月8日</w:t>
      </w:r>
      <w:bookmarkEnd w:id="0"/>
    </w:p>
    <w:p w14:paraId="0233ADC6">
      <w:pPr>
        <w:pStyle w:val="5"/>
        <w:rPr>
          <w:lang w:eastAsia="zh-CN"/>
        </w:rPr>
      </w:pPr>
    </w:p>
    <w:p w14:paraId="139E2946">
      <w:pPr>
        <w:pStyle w:val="24"/>
        <w:spacing w:before="39" w:line="360" w:lineRule="auto"/>
        <w:ind w:left="3933" w:right="4153"/>
        <w:jc w:val="center"/>
        <w:rPr>
          <w:rFonts w:hint="eastAsia"/>
          <w:lang w:eastAsia="zh-CN"/>
        </w:rPr>
      </w:pPr>
      <w:bookmarkStart w:id="1" w:name="_Toc7658"/>
    </w:p>
    <w:p w14:paraId="35A21995">
      <w:pPr>
        <w:pStyle w:val="24"/>
        <w:spacing w:before="39" w:line="360" w:lineRule="auto"/>
        <w:ind w:left="3933" w:right="4153"/>
        <w:jc w:val="center"/>
        <w:rPr>
          <w:rFonts w:hint="eastAsia"/>
          <w:lang w:eastAsia="zh-CN"/>
        </w:rPr>
      </w:pPr>
      <w:r>
        <w:rPr>
          <w:rFonts w:hint="eastAsia"/>
          <w:lang w:eastAsia="zh-CN"/>
        </w:rPr>
        <w:t>郑重声明</w:t>
      </w:r>
      <w:bookmarkEnd w:id="1"/>
    </w:p>
    <w:p w14:paraId="26BC279F">
      <w:pPr>
        <w:spacing w:line="360" w:lineRule="auto"/>
        <w:rPr>
          <w:sz w:val="20"/>
          <w:szCs w:val="20"/>
          <w:lang w:eastAsia="zh-CN"/>
        </w:rPr>
      </w:pPr>
    </w:p>
    <w:p w14:paraId="1B48C4F9">
      <w:pPr>
        <w:spacing w:line="360" w:lineRule="auto"/>
        <w:rPr>
          <w:sz w:val="20"/>
          <w:szCs w:val="20"/>
          <w:lang w:eastAsia="zh-CN"/>
        </w:rPr>
      </w:pPr>
    </w:p>
    <w:p w14:paraId="51B93F80">
      <w:pPr>
        <w:spacing w:before="7" w:line="360" w:lineRule="auto"/>
        <w:rPr>
          <w:sz w:val="20"/>
          <w:szCs w:val="20"/>
          <w:lang w:eastAsia="zh-CN"/>
        </w:rPr>
      </w:pPr>
    </w:p>
    <w:p w14:paraId="4AC5F06F">
      <w:pPr>
        <w:pStyle w:val="7"/>
        <w:spacing w:line="360" w:lineRule="auto"/>
        <w:ind w:left="227" w:right="454" w:firstLine="522"/>
        <w:jc w:val="both"/>
        <w:rPr>
          <w:rFonts w:hint="eastAsia"/>
          <w:w w:val="95"/>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相关论述和结论真实性和科学性负责。</w:t>
      </w:r>
    </w:p>
    <w:p w14:paraId="36B67E30">
      <w:pPr>
        <w:spacing w:line="360" w:lineRule="auto"/>
        <w:rPr>
          <w:sz w:val="20"/>
          <w:szCs w:val="20"/>
          <w:lang w:eastAsia="zh-CN"/>
        </w:rPr>
      </w:pPr>
    </w:p>
    <w:p w14:paraId="1213BE3F">
      <w:pPr>
        <w:spacing w:line="360" w:lineRule="auto"/>
        <w:rPr>
          <w:sz w:val="20"/>
          <w:szCs w:val="20"/>
          <w:lang w:eastAsia="zh-CN"/>
        </w:rPr>
      </w:pPr>
    </w:p>
    <w:p w14:paraId="1A764351">
      <w:pPr>
        <w:spacing w:line="360" w:lineRule="auto"/>
        <w:rPr>
          <w:sz w:val="20"/>
          <w:szCs w:val="20"/>
          <w:lang w:eastAsia="zh-CN"/>
        </w:rPr>
      </w:pPr>
    </w:p>
    <w:p w14:paraId="46013864">
      <w:pPr>
        <w:spacing w:line="360" w:lineRule="auto"/>
        <w:rPr>
          <w:sz w:val="20"/>
          <w:szCs w:val="20"/>
          <w:lang w:eastAsia="zh-CN"/>
        </w:rPr>
      </w:pPr>
    </w:p>
    <w:p w14:paraId="37DD367C">
      <w:pPr>
        <w:spacing w:line="360" w:lineRule="auto"/>
        <w:rPr>
          <w:sz w:val="20"/>
          <w:szCs w:val="20"/>
          <w:lang w:eastAsia="zh-CN"/>
        </w:rPr>
      </w:pPr>
    </w:p>
    <w:p w14:paraId="7C17AEC2">
      <w:pPr>
        <w:pStyle w:val="7"/>
        <w:spacing w:line="360" w:lineRule="auto"/>
        <w:ind w:firstLine="4959" w:firstLineChars="1900"/>
        <w:rPr>
          <w:rFonts w:hint="eastAsia"/>
          <w:b/>
          <w:lang w:eastAsia="zh-CN"/>
        </w:rPr>
      </w:pPr>
      <w:r>
        <w:rPr>
          <w:rFonts w:hint="eastAsia"/>
          <w:b/>
          <w:lang w:eastAsia="zh-CN"/>
        </w:rPr>
        <w:t>开开电缆科技有限公司</w:t>
      </w:r>
    </w:p>
    <w:p w14:paraId="3398496E">
      <w:pPr>
        <w:pStyle w:val="7"/>
        <w:spacing w:line="360" w:lineRule="auto"/>
        <w:ind w:firstLine="5220" w:firstLineChars="2000"/>
        <w:rPr>
          <w:rFonts w:hint="eastAsia"/>
          <w:b/>
          <w:lang w:eastAsia="zh-CN"/>
        </w:rPr>
      </w:pPr>
      <w:r>
        <w:rPr>
          <w:rFonts w:hint="eastAsia"/>
          <w:b/>
          <w:lang w:eastAsia="zh-CN"/>
        </w:rPr>
        <w:t>2025年3月8日</w:t>
      </w:r>
    </w:p>
    <w:p w14:paraId="7445CBA9">
      <w:pPr>
        <w:spacing w:line="360" w:lineRule="auto"/>
        <w:rPr>
          <w:lang w:eastAsia="zh-CN"/>
        </w:rPr>
        <w:sectPr>
          <w:headerReference r:id="rId4" w:type="default"/>
          <w:footerReference r:id="rId5" w:type="default"/>
          <w:pgSz w:w="11907" w:h="16840"/>
          <w:pgMar w:top="1480" w:right="1140" w:bottom="1160" w:left="1360" w:header="849" w:footer="979" w:gutter="0"/>
          <w:pgNumType w:start="1"/>
          <w:cols w:space="720" w:num="1"/>
        </w:sectPr>
      </w:pPr>
    </w:p>
    <w:p w14:paraId="34A31645">
      <w:pPr>
        <w:pStyle w:val="7"/>
        <w:spacing w:before="53" w:line="360" w:lineRule="auto"/>
        <w:rPr>
          <w:rFonts w:hint="eastAsia"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14:paraId="6F9A22EA">
      <w:pPr>
        <w:spacing w:before="6" w:line="360" w:lineRule="auto"/>
        <w:rPr>
          <w:sz w:val="11"/>
          <w:szCs w:val="11"/>
          <w:lang w:eastAsia="zh-CN"/>
        </w:rPr>
      </w:pPr>
    </w:p>
    <w:p w14:paraId="073A60A6">
      <w:pPr>
        <w:pStyle w:val="7"/>
        <w:spacing w:line="360" w:lineRule="auto"/>
        <w:ind w:left="678"/>
        <w:rPr>
          <w:rFonts w:hint="eastAsia"/>
          <w:lang w:eastAsia="zh-CN"/>
        </w:rPr>
      </w:pPr>
      <w:r>
        <w:rPr>
          <w:rFonts w:hint="eastAsia"/>
          <w:lang w:eastAsia="zh-CN"/>
        </w:rPr>
        <w:t>开开电缆科技有限公司</w:t>
      </w:r>
    </w:p>
    <w:p w14:paraId="659A7AAC">
      <w:pPr>
        <w:spacing w:before="6" w:line="360" w:lineRule="auto"/>
        <w:rPr>
          <w:sz w:val="11"/>
          <w:szCs w:val="11"/>
          <w:lang w:eastAsia="zh-CN"/>
        </w:rPr>
      </w:pPr>
    </w:p>
    <w:p w14:paraId="7261056D">
      <w:pPr>
        <w:pStyle w:val="7"/>
        <w:spacing w:line="360" w:lineRule="auto"/>
        <w:rPr>
          <w:rFonts w:hint="eastAsia"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14:paraId="0F1A2AD9">
      <w:pPr>
        <w:spacing w:before="8" w:line="360" w:lineRule="auto"/>
        <w:rPr>
          <w:sz w:val="11"/>
          <w:szCs w:val="11"/>
          <w:lang w:eastAsia="zh-CN"/>
        </w:rPr>
      </w:pPr>
    </w:p>
    <w:p w14:paraId="79EA913C">
      <w:pPr>
        <w:pStyle w:val="7"/>
        <w:spacing w:line="360" w:lineRule="auto"/>
        <w:ind w:left="678"/>
        <w:rPr>
          <w:rFonts w:hint="eastAsia"/>
          <w:lang w:eastAsia="zh-CN"/>
        </w:rPr>
      </w:pPr>
      <w:r>
        <w:rPr>
          <w:rFonts w:hint="eastAsia"/>
          <w:lang w:eastAsia="zh-CN"/>
        </w:rPr>
        <w:t>本报告涵盖的时间范围为 2024年1月1日至2024年 12月31日，</w:t>
      </w:r>
    </w:p>
    <w:p w14:paraId="36D292CC">
      <w:pPr>
        <w:pStyle w:val="7"/>
        <w:spacing w:line="360" w:lineRule="auto"/>
        <w:ind w:left="678"/>
        <w:rPr>
          <w:rFonts w:hint="eastAsia"/>
          <w:lang w:eastAsia="zh-CN"/>
        </w:rPr>
      </w:pPr>
      <w:r>
        <w:rPr>
          <w:rFonts w:hint="eastAsia"/>
          <w:lang w:eastAsia="zh-CN"/>
        </w:rPr>
        <w:t>本报告为开开电缆科技有限公司第1份质量诚信报告。</w:t>
      </w:r>
    </w:p>
    <w:p w14:paraId="47567A72">
      <w:pPr>
        <w:spacing w:before="6" w:line="360" w:lineRule="auto"/>
        <w:rPr>
          <w:sz w:val="11"/>
          <w:szCs w:val="11"/>
          <w:lang w:eastAsia="zh-CN"/>
        </w:rPr>
      </w:pPr>
    </w:p>
    <w:p w14:paraId="5BA43530">
      <w:pPr>
        <w:pStyle w:val="7"/>
        <w:spacing w:line="360" w:lineRule="auto"/>
        <w:rPr>
          <w:rFonts w:hint="eastAsia"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14:paraId="4599611B">
      <w:pPr>
        <w:spacing w:before="6" w:line="360" w:lineRule="auto"/>
        <w:rPr>
          <w:sz w:val="11"/>
          <w:szCs w:val="11"/>
          <w:lang w:eastAsia="zh-CN"/>
        </w:rPr>
      </w:pPr>
    </w:p>
    <w:p w14:paraId="282F2D84">
      <w:pPr>
        <w:pStyle w:val="7"/>
        <w:spacing w:line="360" w:lineRule="auto"/>
        <w:ind w:left="807"/>
        <w:rPr>
          <w:rFonts w:hint="eastAsia"/>
          <w:lang w:eastAsia="zh-CN"/>
        </w:rPr>
      </w:pPr>
      <w:r>
        <w:rPr>
          <w:rFonts w:hint="eastAsia"/>
          <w:lang w:eastAsia="zh-CN"/>
        </w:rPr>
        <w:t>一年</w:t>
      </w:r>
    </w:p>
    <w:p w14:paraId="34F1D93A">
      <w:pPr>
        <w:spacing w:before="9" w:line="360" w:lineRule="auto"/>
        <w:rPr>
          <w:sz w:val="11"/>
          <w:szCs w:val="11"/>
          <w:lang w:eastAsia="zh-CN"/>
        </w:rPr>
      </w:pPr>
    </w:p>
    <w:p w14:paraId="3D27495B">
      <w:pPr>
        <w:pStyle w:val="7"/>
        <w:spacing w:line="360" w:lineRule="auto"/>
        <w:rPr>
          <w:rFonts w:hint="eastAsia"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14:paraId="2736063F">
      <w:pPr>
        <w:spacing w:before="6" w:line="360" w:lineRule="auto"/>
        <w:rPr>
          <w:sz w:val="11"/>
          <w:szCs w:val="11"/>
          <w:lang w:eastAsia="zh-CN"/>
        </w:rPr>
      </w:pPr>
    </w:p>
    <w:p w14:paraId="5E9A5EB9">
      <w:pPr>
        <w:pStyle w:val="7"/>
        <w:spacing w:line="360" w:lineRule="auto"/>
        <w:ind w:left="807"/>
        <w:rPr>
          <w:rFonts w:hint="eastAsia"/>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站www.cn-cable.com</w:t>
      </w:r>
      <w:r>
        <w:rPr>
          <w:rFonts w:hint="eastAsia"/>
          <w:color w:val="000000"/>
          <w:w w:val="95"/>
          <w:lang w:eastAsia="zh-CN"/>
        </w:rPr>
        <w:t>下载</w:t>
      </w:r>
    </w:p>
    <w:p w14:paraId="6330D61E">
      <w:pPr>
        <w:spacing w:line="360" w:lineRule="auto"/>
        <w:rPr>
          <w:lang w:eastAsia="zh-CN"/>
        </w:rPr>
        <w:sectPr>
          <w:pgSz w:w="11907" w:h="16840"/>
          <w:pgMar w:top="1540" w:right="1100" w:bottom="1160" w:left="1300" w:header="849" w:footer="979" w:gutter="0"/>
          <w:cols w:space="720" w:num="1"/>
        </w:sectPr>
      </w:pPr>
    </w:p>
    <w:p w14:paraId="639320DA">
      <w:pPr>
        <w:pStyle w:val="5"/>
        <w:rPr>
          <w:lang w:eastAsia="zh-CN"/>
        </w:rPr>
      </w:pPr>
      <w:bookmarkStart w:id="2" w:name="_Toc27877"/>
    </w:p>
    <w:p w14:paraId="1E6030E0">
      <w:pPr>
        <w:pStyle w:val="24"/>
        <w:spacing w:before="39" w:line="360" w:lineRule="auto"/>
        <w:ind w:left="3933" w:right="4153"/>
        <w:jc w:val="center"/>
        <w:rPr>
          <w:rFonts w:hint="eastAsia"/>
          <w:lang w:eastAsia="zh-CN"/>
        </w:rPr>
      </w:pPr>
      <w:r>
        <w:rPr>
          <w:rFonts w:hint="eastAsia"/>
          <w:lang w:eastAsia="zh-CN"/>
        </w:rPr>
        <w:t>企业简介</w:t>
      </w:r>
      <w:bookmarkEnd w:id="2"/>
    </w:p>
    <w:p w14:paraId="6B3FC781">
      <w:pPr>
        <w:spacing w:line="360" w:lineRule="auto"/>
        <w:rPr>
          <w:sz w:val="20"/>
          <w:szCs w:val="20"/>
          <w:lang w:eastAsia="zh-CN"/>
        </w:rPr>
      </w:pPr>
    </w:p>
    <w:p w14:paraId="36DFEC9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宋体"/>
          <w:i w:val="0"/>
          <w:iCs w:val="0"/>
          <w:caps w:val="0"/>
          <w:color w:val="333333"/>
          <w:spacing w:val="0"/>
          <w:sz w:val="24"/>
          <w:szCs w:val="24"/>
          <w:highlight w:val="none"/>
          <w:shd w:val="clear" w:fill="FFFFFF"/>
          <w:lang w:val="en-US" w:eastAsia="zh-CN"/>
        </w:rPr>
      </w:pPr>
      <w:bookmarkStart w:id="3" w:name="_Hlk195472254"/>
      <w:r>
        <w:rPr>
          <w:rFonts w:hint="eastAsia" w:ascii="宋体" w:hAnsi="宋体" w:cs="宋体"/>
          <w:i w:val="0"/>
          <w:iCs w:val="0"/>
          <w:caps w:val="0"/>
          <w:color w:val="333333"/>
          <w:spacing w:val="0"/>
          <w:sz w:val="24"/>
          <w:szCs w:val="24"/>
          <w:highlight w:val="none"/>
          <w:shd w:val="clear" w:fill="FFFFFF"/>
          <w:lang w:val="en-US" w:eastAsia="zh-CN"/>
        </w:rPr>
        <w:t>开开电缆科技有限公司始创于1989年，是一家集研发、生产、销售、服务为一体的电线电缆</w:t>
      </w:r>
      <w:r>
        <w:rPr>
          <w:rFonts w:hint="eastAsia" w:ascii="微软雅黑" w:hAnsi="微软雅黑" w:eastAsia="微软雅黑" w:cs="微软雅黑"/>
          <w:b/>
          <w:bCs/>
          <w:i w:val="0"/>
          <w:iCs w:val="0"/>
          <w:caps w:val="0"/>
          <w:color w:val="333333"/>
          <w:spacing w:val="0"/>
          <w:sz w:val="24"/>
          <w:szCs w:val="24"/>
          <w:highlight w:val="none"/>
          <w:shd w:val="clear" w:fill="FFFFFF"/>
          <w:lang w:val="en-US" w:eastAsia="zh-CN"/>
        </w:rPr>
        <w:t>高新技术企业，中国电线电缆十大品牌企业</w:t>
      </w:r>
      <w:r>
        <w:rPr>
          <w:rFonts w:hint="eastAsia" w:ascii="宋体" w:hAnsi="宋体" w:cs="宋体"/>
          <w:i w:val="0"/>
          <w:iCs w:val="0"/>
          <w:caps w:val="0"/>
          <w:color w:val="333333"/>
          <w:spacing w:val="0"/>
          <w:sz w:val="24"/>
          <w:szCs w:val="24"/>
          <w:highlight w:val="none"/>
          <w:shd w:val="clear" w:fill="FFFFFF"/>
          <w:lang w:val="en-US" w:eastAsia="zh-CN"/>
        </w:rPr>
        <w:t>。公司总部坐落于山魂海魄的浙东中部台州湾新区，北接长三角、南达闽台温。</w:t>
      </w:r>
    </w:p>
    <w:p w14:paraId="3C5CFFE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eastAsia="zh-CN"/>
        </w:rPr>
      </w:pPr>
      <w:r>
        <w:rPr>
          <w:rFonts w:hint="eastAsia" w:ascii="宋体" w:hAnsi="宋体" w:cs="宋体"/>
          <w:i w:val="0"/>
          <w:iCs w:val="0"/>
          <w:caps w:val="0"/>
          <w:color w:val="333333"/>
          <w:spacing w:val="0"/>
          <w:sz w:val="24"/>
          <w:szCs w:val="24"/>
          <w:highlight w:val="none"/>
          <w:shd w:val="clear" w:fill="FFFFFF"/>
          <w:lang w:val="en-US" w:eastAsia="zh-CN"/>
        </w:rPr>
        <w:t>公司秉承着</w:t>
      </w:r>
      <w:r>
        <w:rPr>
          <w:rFonts w:hint="eastAsia" w:ascii="宋体" w:hAnsi="宋体" w:cs="宋体"/>
          <w:sz w:val="24"/>
          <w:szCs w:val="24"/>
          <w:highlight w:val="none"/>
        </w:rPr>
        <w:t>“</w:t>
      </w:r>
      <w:r>
        <w:rPr>
          <w:rFonts w:hint="eastAsia" w:ascii="微软雅黑" w:hAnsi="微软雅黑" w:eastAsia="微软雅黑" w:cs="微软雅黑"/>
          <w:b/>
          <w:bCs/>
          <w:sz w:val="24"/>
          <w:szCs w:val="24"/>
          <w:highlight w:val="none"/>
        </w:rPr>
        <w:t>开拓创新、开辟未来</w:t>
      </w:r>
      <w:r>
        <w:rPr>
          <w:rFonts w:hint="eastAsia" w:ascii="宋体" w:hAnsi="宋体" w:cs="宋体"/>
          <w:sz w:val="24"/>
          <w:szCs w:val="24"/>
          <w:highlight w:val="none"/>
        </w:rPr>
        <w:t>”</w:t>
      </w:r>
      <w:r>
        <w:rPr>
          <w:rFonts w:hint="eastAsia" w:ascii="宋体" w:hAnsi="宋体" w:cs="宋体"/>
          <w:sz w:val="24"/>
          <w:szCs w:val="24"/>
          <w:highlight w:val="none"/>
          <w:lang w:eastAsia="zh-CN"/>
        </w:rPr>
        <w:t>的理念，</w:t>
      </w:r>
      <w:r>
        <w:rPr>
          <w:rFonts w:hint="eastAsia" w:ascii="微软雅黑" w:hAnsi="微软雅黑" w:eastAsia="微软雅黑" w:cs="微软雅黑"/>
          <w:b/>
          <w:bCs/>
          <w:sz w:val="24"/>
          <w:szCs w:val="24"/>
          <w:highlight w:val="none"/>
          <w:lang w:eastAsia="zh-CN"/>
        </w:rPr>
        <w:t>致力于为社会提供安全、环保、节能的电线电缆产品和服务</w:t>
      </w:r>
      <w:r>
        <w:rPr>
          <w:rFonts w:hint="eastAsia" w:ascii="宋体" w:hAnsi="宋体" w:cs="宋体"/>
          <w:sz w:val="24"/>
          <w:szCs w:val="24"/>
          <w:highlight w:val="none"/>
          <w:lang w:eastAsia="zh-CN"/>
        </w:rPr>
        <w:t>。公司产品有高中低压电力电缆、柔性防火电缆、充电桩电缆、光伏电缆、风力发电专用电缆、辐照交联电缆、</w:t>
      </w:r>
      <w:r>
        <w:rPr>
          <w:rFonts w:hint="eastAsia" w:ascii="宋体" w:hAnsi="宋体" w:cs="宋体"/>
          <w:sz w:val="24"/>
          <w:szCs w:val="24"/>
          <w:highlight w:val="none"/>
        </w:rPr>
        <w:t>矿用电缆、船用电缆、轨道交通用直流电缆、硅橡胶电缆、光纤复合低压电缆</w:t>
      </w:r>
      <w:r>
        <w:rPr>
          <w:rFonts w:hint="eastAsia" w:ascii="宋体" w:hAnsi="宋体" w:cs="宋体"/>
          <w:sz w:val="24"/>
          <w:szCs w:val="24"/>
          <w:highlight w:val="none"/>
          <w:lang w:eastAsia="zh-CN"/>
        </w:rPr>
        <w:t>、铝合金电缆、架空绝缘电缆、架空导线、预分支电缆、核电电缆、控制电缆、高性能环保电线、网络线等几十个品种、近百种型号、上万种规格。产品广泛应用于国家电网、南方电网以及中国能源建设、上海地铁三号线、东方明珠电视塔、杭州湾跨海大桥、全国人大综合管理部大楼、上海迪士尼、武汉体育中心、南昌红河谷隧道、浙江吉利、八环科技、长鹰信质、横店集团、天能电池、天能新能源、浙江亿利达、桐昆集团、江苏佳通、晶科电力等新能源、核电站、化工、医疗、电子、通信、汽车、无人机、电力、机器人、航空航天、船舶、房产、交通、高端电气装备、影视、煤矿领域一批国家</w:t>
      </w:r>
      <w:r>
        <w:rPr>
          <w:rFonts w:hint="eastAsia" w:ascii="宋体" w:hAnsi="宋体" w:cs="宋体"/>
          <w:sz w:val="24"/>
          <w:szCs w:val="24"/>
          <w:highlight w:val="none"/>
          <w:lang w:val="en-US" w:eastAsia="zh-CN"/>
        </w:rPr>
        <w:t>/</w:t>
      </w:r>
      <w:r>
        <w:rPr>
          <w:rFonts w:hint="eastAsia" w:ascii="宋体" w:hAnsi="宋体" w:cs="宋体"/>
          <w:sz w:val="24"/>
          <w:szCs w:val="24"/>
          <w:highlight w:val="none"/>
          <w:lang w:eastAsia="zh-CN"/>
        </w:rPr>
        <w:t>企业重点工程。产品还远销欧美、非洲、东南亚、南美等几十个国家和地区，受到客户的一致好评。被评为</w:t>
      </w:r>
      <w:r>
        <w:rPr>
          <w:rFonts w:hint="eastAsia" w:ascii="微软雅黑" w:hAnsi="微软雅黑" w:eastAsia="微软雅黑" w:cs="微软雅黑"/>
          <w:b/>
          <w:bCs/>
          <w:sz w:val="24"/>
          <w:szCs w:val="24"/>
          <w:highlight w:val="none"/>
          <w:lang w:eastAsia="zh-CN"/>
        </w:rPr>
        <w:t>“中国驰名商标”、“</w:t>
      </w:r>
      <w:r>
        <w:rPr>
          <w:rFonts w:hint="eastAsia" w:ascii="微软雅黑" w:hAnsi="微软雅黑" w:eastAsia="微软雅黑" w:cs="微软雅黑"/>
          <w:b/>
          <w:bCs/>
          <w:sz w:val="24"/>
          <w:szCs w:val="24"/>
          <w:highlight w:val="none"/>
        </w:rPr>
        <w:t>浙江省著名商标</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浙江名牌产品</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中国最具品牌竞争潜力100强民营企业</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全国电线电缆行业顾客满意度AAA级企业</w:t>
      </w:r>
      <w:r>
        <w:rPr>
          <w:rFonts w:hint="eastAsia" w:ascii="微软雅黑" w:hAnsi="微软雅黑" w:eastAsia="微软雅黑" w:cs="微软雅黑"/>
          <w:b/>
          <w:bCs/>
          <w:sz w:val="24"/>
          <w:szCs w:val="24"/>
          <w:highlight w:val="none"/>
          <w:lang w:eastAsia="zh-CN"/>
        </w:rPr>
        <w:t>”，经权威机构评估，“开开</w:t>
      </w:r>
      <w:r>
        <w:rPr>
          <w:rFonts w:hint="eastAsia" w:ascii="微软雅黑" w:hAnsi="微软雅黑" w:eastAsia="微软雅黑" w:cs="微软雅黑"/>
          <w:b/>
          <w:bCs/>
          <w:sz w:val="24"/>
          <w:szCs w:val="24"/>
          <w:highlight w:val="none"/>
          <w:lang w:val="en-US" w:eastAsia="zh-CN"/>
        </w:rPr>
        <w:t>+KK</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lang w:val="en-US" w:eastAsia="zh-CN"/>
        </w:rPr>
        <w:t>商标</w:t>
      </w:r>
      <w:r>
        <w:rPr>
          <w:rFonts w:hint="eastAsia" w:ascii="微软雅黑" w:hAnsi="微软雅黑" w:eastAsia="微软雅黑" w:cs="微软雅黑"/>
          <w:b/>
          <w:bCs/>
          <w:sz w:val="24"/>
          <w:szCs w:val="24"/>
          <w:highlight w:val="none"/>
          <w:lang w:eastAsia="zh-CN"/>
        </w:rPr>
        <w:t>价值</w:t>
      </w:r>
      <w:r>
        <w:rPr>
          <w:rFonts w:hint="eastAsia" w:ascii="微软雅黑" w:hAnsi="微软雅黑" w:eastAsia="微软雅黑" w:cs="微软雅黑"/>
          <w:b/>
          <w:bCs/>
          <w:sz w:val="24"/>
          <w:szCs w:val="24"/>
          <w:highlight w:val="none"/>
          <w:lang w:val="en-US" w:eastAsia="zh-CN"/>
        </w:rPr>
        <w:t>4.7亿元</w:t>
      </w:r>
      <w:r>
        <w:rPr>
          <w:rFonts w:hint="eastAsia" w:ascii="宋体" w:hAnsi="宋体" w:cs="宋体"/>
          <w:sz w:val="24"/>
          <w:szCs w:val="24"/>
          <w:highlight w:val="none"/>
          <w:lang w:eastAsia="zh-CN"/>
        </w:rPr>
        <w:t>。</w:t>
      </w:r>
    </w:p>
    <w:p w14:paraId="2107A56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eastAsia="zh-CN"/>
        </w:rPr>
        <w:t>创新是企业发展的不竭动力和源泉，公司不断完善人才战略，</w:t>
      </w:r>
      <w:r>
        <w:rPr>
          <w:rFonts w:hint="eastAsia" w:ascii="宋体" w:hAnsi="宋体" w:eastAsia="宋体" w:cs="宋体"/>
          <w:i w:val="0"/>
          <w:iCs w:val="0"/>
          <w:caps w:val="0"/>
          <w:color w:val="333333"/>
          <w:spacing w:val="0"/>
          <w:sz w:val="24"/>
          <w:szCs w:val="24"/>
          <w:highlight w:val="none"/>
          <w:shd w:val="clear" w:fill="FFFFFF"/>
        </w:rPr>
        <w:t>坚持科技引领、创新驱动，</w:t>
      </w:r>
      <w:r>
        <w:rPr>
          <w:rFonts w:hint="eastAsia" w:ascii="宋体" w:hAnsi="宋体" w:cs="宋体"/>
          <w:sz w:val="24"/>
          <w:szCs w:val="24"/>
          <w:highlight w:val="none"/>
          <w:lang w:eastAsia="zh-CN"/>
        </w:rPr>
        <w:t>按照</w:t>
      </w:r>
      <w:r>
        <w:rPr>
          <w:rFonts w:hint="eastAsia" w:ascii="宋体" w:hAnsi="宋体" w:cs="宋体"/>
          <w:sz w:val="24"/>
          <w:szCs w:val="24"/>
          <w:highlight w:val="none"/>
          <w:lang w:val="en-US" w:eastAsia="zh-CN"/>
        </w:rPr>
        <w:t>IPD不断完善公司的研发创新体系，拥有一批专门从事电线电缆的科研团队，科技人员大专及以上学历达95%以上，先后研发新产品30多项，实现新型专利33项，发明专利12项。先后获得</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浙江省民营企业科技创新奖</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“浙江省专利示范企业”</w:t>
      </w:r>
      <w:r>
        <w:rPr>
          <w:rFonts w:hint="eastAsia" w:ascii="微软雅黑" w:hAnsi="微软雅黑" w:eastAsia="微软雅黑" w:cs="微软雅黑"/>
          <w:b/>
          <w:bCs/>
          <w:sz w:val="24"/>
          <w:szCs w:val="24"/>
          <w:highlight w:val="none"/>
          <w:lang w:eastAsia="zh-CN"/>
        </w:rPr>
        <w:t>、“浙江省科技进步奖”，是浙江省企业技术部、浙江省特种电缆研发中心</w:t>
      </w:r>
      <w:r>
        <w:rPr>
          <w:rFonts w:hint="eastAsia" w:ascii="宋体" w:hAnsi="宋体" w:cs="宋体"/>
          <w:sz w:val="24"/>
          <w:szCs w:val="24"/>
          <w:highlight w:val="none"/>
          <w:lang w:eastAsia="zh-CN"/>
        </w:rPr>
        <w:t>，</w:t>
      </w:r>
      <w:r>
        <w:rPr>
          <w:rFonts w:hint="eastAsia" w:ascii="微软雅黑" w:hAnsi="微软雅黑" w:eastAsia="微软雅黑" w:cs="微软雅黑"/>
          <w:b/>
          <w:bCs/>
          <w:sz w:val="24"/>
          <w:szCs w:val="24"/>
          <w:highlight w:val="none"/>
          <w:lang w:eastAsia="zh-CN"/>
        </w:rPr>
        <w:t>参与国家</w:t>
      </w:r>
      <w:r>
        <w:rPr>
          <w:rFonts w:hint="eastAsia" w:ascii="微软雅黑" w:hAnsi="微软雅黑" w:eastAsia="微软雅黑" w:cs="微软雅黑"/>
          <w:b/>
          <w:bCs/>
          <w:sz w:val="24"/>
          <w:szCs w:val="24"/>
          <w:highlight w:val="none"/>
          <w:lang w:val="en-US" w:eastAsia="zh-CN"/>
        </w:rPr>
        <w:t>/行业3项标准的制定</w:t>
      </w:r>
      <w:r>
        <w:rPr>
          <w:rFonts w:hint="eastAsia" w:ascii="宋体" w:hAnsi="宋体" w:cs="宋体"/>
          <w:b/>
          <w:bCs/>
          <w:sz w:val="24"/>
          <w:szCs w:val="24"/>
          <w:highlight w:val="none"/>
          <w:lang w:val="en-US" w:eastAsia="zh-CN"/>
        </w:rPr>
        <w:t>，被聘为中国电线电缆行业权威工具书《中国电线电缆大全》编委会高级顾问，公司信息化MES/CAPP等直接对接国网EIP平台（电工装备智慧物联），</w:t>
      </w:r>
      <w:r>
        <w:rPr>
          <w:rFonts w:hint="eastAsia" w:ascii="宋体" w:hAnsi="宋体" w:cs="宋体"/>
          <w:sz w:val="24"/>
          <w:szCs w:val="24"/>
          <w:highlight w:val="none"/>
          <w:lang w:eastAsia="zh-CN"/>
        </w:rPr>
        <w:t>承担着</w:t>
      </w:r>
      <w:r>
        <w:rPr>
          <w:rFonts w:hint="eastAsia" w:ascii="微软雅黑" w:hAnsi="微软雅黑" w:eastAsia="微软雅黑" w:cs="微软雅黑"/>
          <w:b/>
          <w:bCs/>
          <w:sz w:val="24"/>
          <w:szCs w:val="24"/>
          <w:highlight w:val="none"/>
          <w:lang w:eastAsia="zh-CN"/>
        </w:rPr>
        <w:t>“国家火炬计划”、“浙江省重大科技专项研发项目”、“浙江省</w:t>
      </w:r>
      <w:r>
        <w:rPr>
          <w:rFonts w:hint="eastAsia" w:ascii="微软雅黑" w:hAnsi="微软雅黑" w:eastAsia="微软雅黑" w:cs="微软雅黑"/>
          <w:b/>
          <w:bCs/>
          <w:sz w:val="24"/>
          <w:szCs w:val="24"/>
          <w:highlight w:val="none"/>
        </w:rPr>
        <w:t>重要质量管理创新</w:t>
      </w:r>
      <w:r>
        <w:rPr>
          <w:rFonts w:hint="eastAsia" w:ascii="微软雅黑" w:hAnsi="微软雅黑" w:eastAsia="微软雅黑" w:cs="微软雅黑"/>
          <w:b/>
          <w:bCs/>
          <w:sz w:val="24"/>
          <w:szCs w:val="24"/>
          <w:highlight w:val="none"/>
          <w:lang w:eastAsia="zh-CN"/>
        </w:rPr>
        <w:t>项目”</w:t>
      </w:r>
      <w:r>
        <w:rPr>
          <w:rFonts w:hint="eastAsia" w:ascii="宋体" w:hAnsi="宋体" w:cs="宋体"/>
          <w:sz w:val="24"/>
          <w:szCs w:val="24"/>
          <w:highlight w:val="none"/>
          <w:lang w:eastAsia="zh-CN"/>
        </w:rPr>
        <w:t>等重大课题的研发。</w:t>
      </w:r>
    </w:p>
    <w:p w14:paraId="4F1B20A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公司拥有行业先进的生产、检测设备</w:t>
      </w:r>
      <w:r>
        <w:rPr>
          <w:rFonts w:hint="eastAsia" w:ascii="宋体" w:hAnsi="宋体" w:cs="宋体"/>
          <w:sz w:val="24"/>
          <w:szCs w:val="24"/>
          <w:highlight w:val="none"/>
          <w:lang w:val="en-US" w:eastAsia="zh-CN"/>
        </w:rPr>
        <w:t>500多台套，严格按照IEC、UL、VDE、CE以及GB等国际、国内标准生产，先后通过了ISO9001、ISO14001、ISO45001、测量管理AAA、标准化良好行为企业AAA等管理体系以及生产许可证、CCC、MA、ROHS等认证。还荣获</w:t>
      </w:r>
      <w:r>
        <w:rPr>
          <w:rFonts w:hint="eastAsia" w:ascii="微软雅黑" w:hAnsi="微软雅黑" w:eastAsia="微软雅黑" w:cs="微软雅黑"/>
          <w:b/>
          <w:bCs/>
          <w:sz w:val="24"/>
          <w:szCs w:val="24"/>
          <w:highlight w:val="none"/>
        </w:rPr>
        <w:t>“浙江省知名商品”</w:t>
      </w:r>
      <w:r>
        <w:rPr>
          <w:rFonts w:hint="eastAsia" w:ascii="微软雅黑" w:hAnsi="微软雅黑" w:eastAsia="微软雅黑" w:cs="微软雅黑"/>
          <w:b/>
          <w:bCs/>
          <w:sz w:val="24"/>
          <w:szCs w:val="24"/>
          <w:highlight w:val="none"/>
          <w:lang w:eastAsia="zh-CN"/>
        </w:rPr>
        <w:t>、</w:t>
      </w:r>
      <w:r>
        <w:rPr>
          <w:rFonts w:hint="eastAsia" w:ascii="微软雅黑" w:hAnsi="微软雅黑" w:eastAsia="微软雅黑" w:cs="微软雅黑"/>
          <w:b/>
          <w:bCs/>
          <w:sz w:val="24"/>
          <w:szCs w:val="24"/>
          <w:highlight w:val="none"/>
        </w:rPr>
        <w:t>“浙江省消费者推荐产品”</w:t>
      </w:r>
      <w:r>
        <w:rPr>
          <w:rFonts w:hint="eastAsia" w:ascii="微软雅黑" w:hAnsi="微软雅黑" w:eastAsia="微软雅黑" w:cs="微软雅黑"/>
          <w:b/>
          <w:bCs/>
          <w:sz w:val="24"/>
          <w:szCs w:val="24"/>
          <w:highlight w:val="none"/>
          <w:lang w:eastAsia="zh-CN"/>
        </w:rPr>
        <w:t>、“浙江省</w:t>
      </w:r>
      <w:r>
        <w:rPr>
          <w:rFonts w:hint="eastAsia" w:ascii="微软雅黑" w:hAnsi="微软雅黑" w:eastAsia="微软雅黑" w:cs="微软雅黑"/>
          <w:b/>
          <w:bCs/>
          <w:sz w:val="24"/>
          <w:szCs w:val="24"/>
          <w:highlight w:val="none"/>
        </w:rPr>
        <w:t>AA</w:t>
      </w:r>
      <w:r>
        <w:rPr>
          <w:rFonts w:hint="eastAsia" w:ascii="微软雅黑" w:hAnsi="微软雅黑" w:eastAsia="微软雅黑" w:cs="微软雅黑"/>
          <w:b/>
          <w:bCs/>
          <w:sz w:val="24"/>
          <w:szCs w:val="24"/>
          <w:highlight w:val="none"/>
          <w:lang w:val="en-US" w:eastAsia="zh-CN"/>
        </w:rPr>
        <w:t>A</w:t>
      </w:r>
      <w:r>
        <w:rPr>
          <w:rFonts w:hint="eastAsia" w:ascii="微软雅黑" w:hAnsi="微软雅黑" w:eastAsia="微软雅黑" w:cs="微软雅黑"/>
          <w:b/>
          <w:bCs/>
          <w:sz w:val="24"/>
          <w:szCs w:val="24"/>
          <w:highlight w:val="none"/>
        </w:rPr>
        <w:t>级守合同重信用单位</w:t>
      </w:r>
      <w:r>
        <w:rPr>
          <w:rFonts w:hint="eastAsia" w:ascii="微软雅黑" w:hAnsi="微软雅黑" w:eastAsia="微软雅黑" w:cs="微软雅黑"/>
          <w:b/>
          <w:bCs/>
          <w:sz w:val="24"/>
          <w:szCs w:val="24"/>
          <w:highlight w:val="none"/>
          <w:lang w:eastAsia="zh-CN"/>
        </w:rPr>
        <w:t>”、“浙江省诚信奖”、“</w:t>
      </w:r>
      <w:r>
        <w:rPr>
          <w:rFonts w:hint="eastAsia" w:ascii="微软雅黑" w:hAnsi="微软雅黑" w:eastAsia="微软雅黑" w:cs="微软雅黑"/>
          <w:b/>
          <w:bCs/>
          <w:sz w:val="24"/>
          <w:szCs w:val="24"/>
          <w:highlight w:val="none"/>
        </w:rPr>
        <w:t>政府质量奖</w:t>
      </w:r>
      <w:r>
        <w:rPr>
          <w:rFonts w:hint="eastAsia" w:ascii="微软雅黑" w:hAnsi="微软雅黑" w:eastAsia="微软雅黑" w:cs="微软雅黑"/>
          <w:b/>
          <w:bCs/>
          <w:sz w:val="24"/>
          <w:szCs w:val="24"/>
          <w:highlight w:val="none"/>
          <w:lang w:eastAsia="zh-CN"/>
        </w:rPr>
        <w:t>”</w:t>
      </w:r>
      <w:r>
        <w:rPr>
          <w:rFonts w:hint="eastAsia" w:ascii="宋体" w:hAnsi="宋体" w:cs="宋体"/>
          <w:sz w:val="24"/>
          <w:szCs w:val="24"/>
          <w:highlight w:val="none"/>
          <w:lang w:eastAsia="zh-CN"/>
        </w:rPr>
        <w:t>等，</w:t>
      </w:r>
      <w:r>
        <w:rPr>
          <w:rFonts w:hint="eastAsia" w:ascii="宋体" w:hAnsi="宋体" w:cs="宋体"/>
          <w:sz w:val="24"/>
          <w:szCs w:val="24"/>
          <w:highlight w:val="none"/>
          <w:lang w:val="en-US" w:eastAsia="zh-CN"/>
        </w:rPr>
        <w:t>是</w:t>
      </w:r>
      <w:r>
        <w:rPr>
          <w:rFonts w:hint="eastAsia" w:ascii="微软雅黑" w:hAnsi="微软雅黑" w:eastAsia="微软雅黑" w:cs="微软雅黑"/>
          <w:b/>
          <w:bCs/>
          <w:sz w:val="24"/>
          <w:szCs w:val="24"/>
          <w:highlight w:val="none"/>
        </w:rPr>
        <w:t>台州市电线电缆行业协会会长单位</w:t>
      </w:r>
      <w:r>
        <w:rPr>
          <w:rFonts w:hint="eastAsia" w:ascii="宋体" w:hAnsi="宋体" w:cs="宋体"/>
          <w:sz w:val="24"/>
          <w:szCs w:val="24"/>
          <w:highlight w:val="none"/>
          <w:lang w:eastAsia="zh-CN"/>
        </w:rPr>
        <w:t>。</w:t>
      </w:r>
    </w:p>
    <w:p w14:paraId="06817CE4">
      <w:pPr>
        <w:spacing w:before="1" w:line="360" w:lineRule="auto"/>
        <w:ind w:firstLine="494" w:firstLineChars="200"/>
        <w:rPr>
          <w:sz w:val="24"/>
          <w:szCs w:val="24"/>
          <w:lang w:eastAsia="zh-CN"/>
        </w:rPr>
      </w:pPr>
      <w:r>
        <w:rPr>
          <w:rFonts w:hint="eastAsia" w:ascii="宋体" w:hAnsi="宋体"/>
          <w:w w:val="95"/>
          <w:sz w:val="26"/>
          <w:szCs w:val="26"/>
          <w:lang w:eastAsia="zh-CN"/>
        </w:rPr>
        <w:br w:type="textWrapping"/>
      </w:r>
      <w:bookmarkEnd w:id="3"/>
      <w:r>
        <w:rPr>
          <w:rFonts w:hint="eastAsia"/>
          <w:sz w:val="24"/>
          <w:szCs w:val="24"/>
          <w:lang w:eastAsia="zh-CN"/>
        </w:rPr>
        <w:t xml:space="preserve">   </w:t>
      </w:r>
    </w:p>
    <w:p w14:paraId="30A0F638">
      <w:pPr>
        <w:spacing w:line="360" w:lineRule="auto"/>
        <w:jc w:val="center"/>
        <w:rPr>
          <w:lang w:eastAsia="zh-CN"/>
        </w:rPr>
      </w:pPr>
    </w:p>
    <w:p w14:paraId="2A128F72">
      <w:pPr>
        <w:pStyle w:val="5"/>
        <w:rPr>
          <w:lang w:eastAsia="zh-CN"/>
        </w:rPr>
      </w:pPr>
    </w:p>
    <w:p w14:paraId="2515DEBC">
      <w:pPr>
        <w:pStyle w:val="5"/>
        <w:rPr>
          <w:lang w:eastAsia="zh-CN"/>
        </w:rPr>
      </w:pPr>
    </w:p>
    <w:p w14:paraId="530E8F5D">
      <w:pPr>
        <w:pStyle w:val="5"/>
        <w:rPr>
          <w:lang w:eastAsia="zh-CN"/>
        </w:rPr>
      </w:pPr>
    </w:p>
    <w:p w14:paraId="709EBE0C">
      <w:pPr>
        <w:pStyle w:val="5"/>
        <w:rPr>
          <w:lang w:eastAsia="zh-CN"/>
        </w:rPr>
      </w:pPr>
    </w:p>
    <w:p w14:paraId="5911FEF7">
      <w:pPr>
        <w:pStyle w:val="5"/>
        <w:rPr>
          <w:lang w:eastAsia="zh-CN"/>
        </w:rPr>
      </w:pPr>
    </w:p>
    <w:p w14:paraId="5D24FBC9">
      <w:pPr>
        <w:pStyle w:val="5"/>
        <w:rPr>
          <w:lang w:eastAsia="zh-CN"/>
        </w:rPr>
      </w:pPr>
    </w:p>
    <w:p w14:paraId="31D8AE14">
      <w:pPr>
        <w:pStyle w:val="5"/>
        <w:rPr>
          <w:lang w:eastAsia="zh-CN"/>
        </w:rPr>
      </w:pPr>
    </w:p>
    <w:p w14:paraId="7E125316">
      <w:pPr>
        <w:pStyle w:val="5"/>
        <w:rPr>
          <w:lang w:eastAsia="zh-CN"/>
        </w:rPr>
      </w:pPr>
    </w:p>
    <w:p w14:paraId="363AAD01">
      <w:pPr>
        <w:pStyle w:val="5"/>
        <w:rPr>
          <w:lang w:eastAsia="zh-CN"/>
        </w:rPr>
      </w:pPr>
    </w:p>
    <w:p w14:paraId="2BBC0DCF">
      <w:pPr>
        <w:pStyle w:val="5"/>
        <w:rPr>
          <w:lang w:eastAsia="zh-CN"/>
        </w:rPr>
      </w:pPr>
    </w:p>
    <w:p w14:paraId="77BB9E4F">
      <w:pPr>
        <w:pStyle w:val="5"/>
        <w:rPr>
          <w:lang w:eastAsia="zh-CN"/>
        </w:rPr>
      </w:pPr>
    </w:p>
    <w:p w14:paraId="3D4476F4">
      <w:pPr>
        <w:pStyle w:val="5"/>
        <w:rPr>
          <w:lang w:eastAsia="zh-CN"/>
        </w:rPr>
      </w:pPr>
    </w:p>
    <w:p w14:paraId="3868A73E">
      <w:pPr>
        <w:pStyle w:val="5"/>
        <w:rPr>
          <w:lang w:eastAsia="zh-CN"/>
        </w:rPr>
      </w:pPr>
    </w:p>
    <w:p w14:paraId="5C588CFA">
      <w:pPr>
        <w:pStyle w:val="5"/>
        <w:rPr>
          <w:lang w:eastAsia="zh-CN"/>
        </w:rPr>
      </w:pPr>
    </w:p>
    <w:p w14:paraId="18D27D5D">
      <w:pPr>
        <w:pStyle w:val="5"/>
        <w:rPr>
          <w:lang w:eastAsia="zh-CN"/>
        </w:rPr>
      </w:pPr>
    </w:p>
    <w:p w14:paraId="16CAA26F">
      <w:pPr>
        <w:pStyle w:val="5"/>
        <w:rPr>
          <w:lang w:eastAsia="zh-CN"/>
        </w:rPr>
      </w:pPr>
    </w:p>
    <w:p w14:paraId="2F22E939">
      <w:pPr>
        <w:pStyle w:val="5"/>
        <w:rPr>
          <w:lang w:eastAsia="zh-CN"/>
        </w:rPr>
      </w:pPr>
    </w:p>
    <w:p w14:paraId="06DF5FE8">
      <w:pPr>
        <w:pStyle w:val="5"/>
        <w:rPr>
          <w:lang w:eastAsia="zh-CN"/>
        </w:rPr>
      </w:pPr>
    </w:p>
    <w:p w14:paraId="2A7B0F9E">
      <w:pPr>
        <w:pStyle w:val="5"/>
        <w:rPr>
          <w:lang w:eastAsia="zh-CN"/>
        </w:rPr>
      </w:pPr>
    </w:p>
    <w:p w14:paraId="14EDB558">
      <w:pPr>
        <w:pStyle w:val="5"/>
        <w:rPr>
          <w:lang w:eastAsia="zh-CN"/>
        </w:rPr>
      </w:pPr>
    </w:p>
    <w:p w14:paraId="7E52A27E">
      <w:pPr>
        <w:pStyle w:val="5"/>
        <w:rPr>
          <w:lang w:eastAsia="zh-CN"/>
        </w:rPr>
      </w:pPr>
    </w:p>
    <w:p w14:paraId="4330BE73">
      <w:pPr>
        <w:spacing w:line="360" w:lineRule="auto"/>
        <w:jc w:val="center"/>
        <w:rPr>
          <w:lang w:eastAsia="zh-CN"/>
        </w:rPr>
      </w:pPr>
    </w:p>
    <w:p w14:paraId="4007133A">
      <w:pPr>
        <w:spacing w:line="360" w:lineRule="auto"/>
        <w:jc w:val="both"/>
        <w:rPr>
          <w:lang w:eastAsia="zh-CN"/>
        </w:rPr>
      </w:pPr>
      <w:r>
        <w:rPr>
          <w:rFonts w:hint="eastAsia"/>
          <w:lang w:eastAsia="zh-CN"/>
        </w:rPr>
        <w:t xml:space="preserve">  </w:t>
      </w:r>
    </w:p>
    <w:p w14:paraId="6A795C8D">
      <w:pPr>
        <w:pStyle w:val="5"/>
        <w:rPr>
          <w:lang w:eastAsia="zh-CN"/>
        </w:rPr>
      </w:pPr>
    </w:p>
    <w:sdt>
      <w:sdtPr>
        <w:rPr>
          <w:rFonts w:ascii="宋体" w:hAnsi="宋体" w:eastAsia="黑体"/>
          <w:sz w:val="21"/>
          <w:szCs w:val="32"/>
        </w:rPr>
        <w:id w:val="147472684"/>
        <w:docPartObj>
          <w:docPartGallery w:val="Table of Contents"/>
          <w:docPartUnique/>
        </w:docPartObj>
      </w:sdtPr>
      <w:sdtEndPr>
        <w:rPr>
          <w:rFonts w:hint="eastAsia" w:ascii="黑体" w:hAnsi="黑体" w:eastAsia="黑体"/>
          <w:sz w:val="32"/>
          <w:szCs w:val="32"/>
          <w:lang w:eastAsia="zh-CN"/>
        </w:rPr>
      </w:sdtEndPr>
      <w:sdtContent>
        <w:p w14:paraId="21A6BD38">
          <w:pPr>
            <w:spacing w:line="312" w:lineRule="auto"/>
            <w:jc w:val="center"/>
          </w:pPr>
          <w:r>
            <w:rPr>
              <w:rFonts w:hint="eastAsia" w:ascii="黑体" w:hAnsi="黑体" w:eastAsia="黑体" w:cs="黑体"/>
              <w:sz w:val="32"/>
              <w:szCs w:val="32"/>
            </w:rPr>
            <w:t>目</w:t>
          </w:r>
          <w:r>
            <w:rPr>
              <w:rFonts w:hint="eastAsia" w:ascii="黑体" w:hAnsi="黑体" w:eastAsia="黑体" w:cs="黑体"/>
              <w:sz w:val="32"/>
              <w:szCs w:val="32"/>
              <w:lang w:eastAsia="zh-CN"/>
            </w:rPr>
            <w:t xml:space="preserve">  </w:t>
          </w:r>
          <w:r>
            <w:rPr>
              <w:rFonts w:hint="eastAsia" w:ascii="黑体" w:hAnsi="黑体" w:eastAsia="黑体" w:cs="黑体"/>
              <w:sz w:val="32"/>
              <w:szCs w:val="32"/>
            </w:rPr>
            <w:t>录</w:t>
          </w: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14:paraId="14B5CBFD">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"_Toc16735" </w:instrText>
          </w:r>
          <w:r>
            <w:fldChar w:fldCharType="separate"/>
          </w:r>
          <w:r>
            <w:rPr>
              <w:rFonts w:hint="eastAsia" w:asciiTheme="minorEastAsia" w:hAnsiTheme="minorEastAsia" w:eastAsiaTheme="minorEastAsia" w:cstheme="minorEastAsia"/>
              <w:sz w:val="24"/>
              <w:szCs w:val="24"/>
              <w:lang w:eastAsia="zh-CN"/>
            </w:rPr>
            <w:t>第一章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z w:val="24"/>
              <w:szCs w:val="24"/>
              <w:lang w:eastAsia="zh-CN"/>
            </w:rPr>
            <w:t>质量理念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_Toc16735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1D5F56B2">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"_Toc13265" </w:instrText>
          </w:r>
          <w:r>
            <w:fldChar w:fldCharType="separate"/>
          </w:r>
          <w:r>
            <w:rPr>
              <w:rFonts w:hint="eastAsia" w:asciiTheme="minorEastAsia" w:hAnsiTheme="minorEastAsia" w:eastAsiaTheme="minorEastAsia" w:cstheme="minorEastAsia"/>
              <w:sz w:val="24"/>
              <w:szCs w:val="24"/>
              <w:lang w:eastAsia="zh-CN"/>
            </w:rPr>
            <w:t>1.1  企业使命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_Toc13265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D8D9D77">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"_Toc1278" </w:instrText>
          </w:r>
          <w:r>
            <w:fldChar w:fldCharType="separate"/>
          </w:r>
          <w:r>
            <w:rPr>
              <w:rFonts w:hint="eastAsia" w:asciiTheme="minorEastAsia" w:hAnsiTheme="minorEastAsia" w:eastAsiaTheme="minorEastAsia" w:cstheme="minorEastAsia"/>
              <w:sz w:val="24"/>
              <w:szCs w:val="24"/>
              <w:lang w:eastAsia="zh-CN"/>
            </w:rPr>
            <w:t>1.2  公司愿景</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CDEBDE9">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"_Toc7517" </w:instrText>
          </w:r>
          <w:r>
            <w:fldChar w:fldCharType="separate"/>
          </w:r>
          <w:r>
            <w:rPr>
              <w:rFonts w:hint="eastAsia" w:asciiTheme="minorEastAsia" w:hAnsiTheme="minorEastAsia" w:eastAsiaTheme="minorEastAsia" w:cstheme="minorEastAsia"/>
              <w:sz w:val="24"/>
              <w:szCs w:val="24"/>
              <w:lang w:eastAsia="zh-CN"/>
            </w:rPr>
            <w:t>1.3  核心价值观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_Toc7517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8289233">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"_Toc24631" </w:instrText>
          </w:r>
          <w:r>
            <w:fldChar w:fldCharType="separate"/>
          </w:r>
          <w:r>
            <w:rPr>
              <w:rFonts w:hint="eastAsia" w:asciiTheme="minorEastAsia" w:hAnsiTheme="minorEastAsia" w:eastAsiaTheme="minorEastAsia" w:cstheme="minorEastAsia"/>
              <w:sz w:val="24"/>
              <w:szCs w:val="24"/>
              <w:lang w:eastAsia="zh-CN"/>
            </w:rPr>
            <w:t>1.4  公司经营理念：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_Toc24631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077D806E">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"_Toc9395" </w:instrText>
          </w:r>
          <w:r>
            <w:fldChar w:fldCharType="separate"/>
          </w:r>
          <w:r>
            <w:rPr>
              <w:rFonts w:hint="eastAsia" w:asciiTheme="minorEastAsia" w:hAnsiTheme="minorEastAsia" w:eastAsiaTheme="minorEastAsia" w:cstheme="minorEastAsia"/>
              <w:sz w:val="24"/>
              <w:szCs w:val="24"/>
              <w:lang w:eastAsia="zh-CN"/>
            </w:rPr>
            <w:t>1.5  质量方针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_Toc9395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4B49D87">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"_Toc23890" </w:instrText>
          </w:r>
          <w:r>
            <w:fldChar w:fldCharType="separate"/>
          </w:r>
          <w:r>
            <w:rPr>
              <w:rFonts w:hint="eastAsia" w:asciiTheme="minorEastAsia" w:hAnsiTheme="minorEastAsia" w:eastAsiaTheme="minorEastAsia" w:cstheme="minorEastAsia"/>
              <w:sz w:val="24"/>
              <w:szCs w:val="24"/>
              <w:lang w:eastAsia="zh-CN"/>
            </w:rPr>
            <w:t>1.6  品质承诺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_Toc23890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500C2C44">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"_Toc2218" </w:instrText>
          </w:r>
          <w:r>
            <w:fldChar w:fldCharType="separate"/>
          </w:r>
          <w:r>
            <w:rPr>
              <w:rFonts w:hint="eastAsia" w:asciiTheme="minorEastAsia" w:hAnsiTheme="minorEastAsia" w:eastAsiaTheme="minorEastAsia" w:cstheme="minorEastAsia"/>
              <w:spacing w:val="2"/>
              <w:sz w:val="24"/>
              <w:szCs w:val="24"/>
              <w:lang w:eastAsia="zh-CN"/>
            </w:rPr>
            <w:t>第二</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质量内</w:t>
          </w:r>
          <w:r>
            <w:rPr>
              <w:rFonts w:hint="eastAsia" w:asciiTheme="minorEastAsia" w:hAnsiTheme="minorEastAsia" w:eastAsiaTheme="minorEastAsia" w:cstheme="minorEastAsia"/>
              <w:sz w:val="24"/>
              <w:szCs w:val="24"/>
              <w:lang w:eastAsia="zh-CN"/>
            </w:rPr>
            <w:t>部</w:t>
          </w:r>
          <w:r>
            <w:rPr>
              <w:rFonts w:hint="eastAsia" w:asciiTheme="minorEastAsia" w:hAnsiTheme="minorEastAsia" w:eastAsiaTheme="minorEastAsia" w:cstheme="minorEastAsia"/>
              <w:spacing w:val="2"/>
              <w:sz w:val="24"/>
              <w:szCs w:val="24"/>
              <w:lang w:eastAsia="zh-CN"/>
            </w:rPr>
            <w:t>管</w:t>
          </w:r>
          <w:r>
            <w:rPr>
              <w:rFonts w:hint="eastAsia" w:asciiTheme="minorEastAsia" w:hAnsiTheme="minorEastAsia" w:eastAsiaTheme="minorEastAsia" w:cstheme="minorEastAsia"/>
              <w:sz w:val="24"/>
              <w:szCs w:val="24"/>
              <w:lang w:eastAsia="zh-CN"/>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E0B2004">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"_Toc2935" </w:instrText>
          </w:r>
          <w:r>
            <w:fldChar w:fldCharType="separate"/>
          </w:r>
          <w:r>
            <w:rPr>
              <w:rFonts w:hint="eastAsia" w:asciiTheme="minorEastAsia" w:hAnsiTheme="minorEastAsia" w:eastAsiaTheme="minorEastAsia" w:cstheme="minorEastAsia"/>
              <w:sz w:val="24"/>
              <w:szCs w:val="24"/>
              <w:lang w:eastAsia="zh-CN"/>
            </w:rPr>
            <w:t>2.1 质量管理机构</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0BD82833">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"_Toc8178" </w:instrText>
          </w:r>
          <w:r>
            <w:fldChar w:fldCharType="separate"/>
          </w:r>
          <w:r>
            <w:rPr>
              <w:rFonts w:hint="eastAsia" w:asciiTheme="minorEastAsia" w:hAnsiTheme="minorEastAsia" w:eastAsiaTheme="minorEastAsia" w:cstheme="minorEastAsia"/>
              <w:sz w:val="24"/>
              <w:szCs w:val="24"/>
              <w:lang w:eastAsia="zh-CN"/>
            </w:rPr>
            <w:t>2.2 质量管理体系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_Toc8178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E8AF1FB">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"_Toc26447" </w:instrText>
          </w:r>
          <w:r>
            <w:fldChar w:fldCharType="separate"/>
          </w:r>
          <w:r>
            <w:rPr>
              <w:rFonts w:hint="eastAsia" w:asciiTheme="minorEastAsia" w:hAnsiTheme="minorEastAsia" w:eastAsiaTheme="minorEastAsia" w:cstheme="minorEastAsia"/>
              <w:spacing w:val="2"/>
              <w:sz w:val="24"/>
              <w:szCs w:val="24"/>
              <w:lang w:eastAsia="zh-CN"/>
            </w:rPr>
            <w:t>第三</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pacing w:val="2"/>
              <w:sz w:val="24"/>
              <w:szCs w:val="24"/>
              <w:lang w:eastAsia="zh-CN"/>
            </w:rPr>
            <w:t>质量诚信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_Toc26447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37238FF">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"_Toc12410" </w:instrText>
          </w:r>
          <w:r>
            <w:fldChar w:fldCharType="separate"/>
          </w:r>
          <w:r>
            <w:rPr>
              <w:rFonts w:hint="eastAsia" w:asciiTheme="minorEastAsia" w:hAnsiTheme="minorEastAsia" w:eastAsiaTheme="minorEastAsia" w:cstheme="minorEastAsia"/>
              <w:sz w:val="24"/>
              <w:szCs w:val="24"/>
              <w:lang w:eastAsia="zh-CN"/>
            </w:rPr>
            <w:t>3.1、产品设计、原材料或零部件采购、生产和售后过程中的质量诚信管理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_Toc12410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40017091">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"_Toc11813" </w:instrText>
          </w:r>
          <w:r>
            <w:fldChar w:fldCharType="separate"/>
          </w:r>
          <w:r>
            <w:rPr>
              <w:rFonts w:hint="eastAsia" w:asciiTheme="minorEastAsia" w:hAnsiTheme="minorEastAsia" w:eastAsiaTheme="minorEastAsia" w:cstheme="minorEastAsia"/>
              <w:sz w:val="24"/>
              <w:szCs w:val="24"/>
              <w:lang w:eastAsia="zh-CN"/>
            </w:rPr>
            <w:t>3.2 质量文化建设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_Toc11813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12485407">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"_Toc17614" </w:instrText>
          </w:r>
          <w:r>
            <w:fldChar w:fldCharType="separate"/>
          </w:r>
          <w:r>
            <w:rPr>
              <w:rFonts w:hint="eastAsia" w:asciiTheme="minorEastAsia" w:hAnsiTheme="minorEastAsia" w:eastAsiaTheme="minorEastAsia" w:cstheme="minorEastAsia"/>
              <w:sz w:val="24"/>
              <w:szCs w:val="24"/>
              <w:lang w:eastAsia="zh-CN"/>
            </w:rPr>
            <w:t>3.3营造诚信守法环境</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_Toc17614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BCC52DA">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"_Toc16457" </w:instrText>
          </w:r>
          <w:r>
            <w:fldChar w:fldCharType="separate"/>
          </w:r>
          <w:r>
            <w:rPr>
              <w:rFonts w:hint="eastAsia" w:asciiTheme="minorEastAsia" w:hAnsiTheme="minorEastAsia" w:eastAsiaTheme="minorEastAsia" w:cstheme="minorEastAsia"/>
              <w:spacing w:val="2"/>
              <w:sz w:val="24"/>
              <w:szCs w:val="24"/>
              <w:lang w:eastAsia="zh-CN"/>
            </w:rPr>
            <w:t>第四</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pacing w:val="2"/>
              <w:sz w:val="24"/>
              <w:szCs w:val="24"/>
              <w:lang w:eastAsia="zh-CN"/>
            </w:rPr>
            <w:t>质量基础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_Toc16457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8936BE1">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"_Toc1062" </w:instrText>
          </w:r>
          <w:r>
            <w:fldChar w:fldCharType="separate"/>
          </w:r>
          <w:r>
            <w:rPr>
              <w:rFonts w:hint="eastAsia" w:asciiTheme="minorEastAsia" w:hAnsiTheme="minorEastAsia" w:eastAsiaTheme="minorEastAsia" w:cstheme="minorEastAsia"/>
              <w:sz w:val="24"/>
              <w:szCs w:val="24"/>
              <w:lang w:eastAsia="zh-CN"/>
            </w:rPr>
            <w:t>4.1</w:t>
          </w:r>
          <w:r>
            <w:rPr>
              <w:rFonts w:hint="eastAsia" w:asciiTheme="minorEastAsia" w:hAnsiTheme="minorEastAsia" w:eastAsiaTheme="minorEastAsia" w:cstheme="minorEastAsia"/>
              <w:spacing w:val="-6"/>
              <w:sz w:val="24"/>
              <w:szCs w:val="24"/>
              <w:lang w:eastAsia="zh-CN"/>
            </w:rPr>
            <w:t xml:space="preserve"> </w:t>
          </w:r>
          <w:r>
            <w:rPr>
              <w:rFonts w:hint="eastAsia" w:asciiTheme="minorEastAsia" w:hAnsiTheme="minorEastAsia" w:eastAsiaTheme="minorEastAsia" w:cstheme="minorEastAsia"/>
              <w:sz w:val="24"/>
              <w:szCs w:val="24"/>
              <w:lang w:eastAsia="zh-CN"/>
            </w:rPr>
            <w:t>产品</w:t>
          </w:r>
          <w:r>
            <w:rPr>
              <w:rFonts w:hint="eastAsia" w:asciiTheme="minorEastAsia" w:hAnsiTheme="minorEastAsia" w:eastAsiaTheme="minorEastAsia" w:cstheme="minorEastAsia"/>
              <w:spacing w:val="2"/>
              <w:sz w:val="24"/>
              <w:szCs w:val="24"/>
              <w:lang w:eastAsia="zh-CN"/>
            </w:rPr>
            <w:t>标</w:t>
          </w:r>
          <w:r>
            <w:rPr>
              <w:rFonts w:hint="eastAsia" w:asciiTheme="minorEastAsia" w:hAnsiTheme="minorEastAsia" w:eastAsiaTheme="minorEastAsia" w:cstheme="minorEastAsia"/>
              <w:sz w:val="24"/>
              <w:szCs w:val="24"/>
              <w:lang w:eastAsia="zh-CN"/>
            </w:rPr>
            <w:t>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A9E8C26">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"_Toc30607" </w:instrText>
          </w:r>
          <w:r>
            <w:fldChar w:fldCharType="separate"/>
          </w:r>
          <w:r>
            <w:rPr>
              <w:rFonts w:hint="eastAsia" w:asciiTheme="minorEastAsia" w:hAnsiTheme="minorEastAsia" w:eastAsiaTheme="minorEastAsia" w:cstheme="minorEastAsia"/>
              <w:sz w:val="24"/>
              <w:szCs w:val="24"/>
              <w:lang w:eastAsia="zh-CN"/>
            </w:rPr>
            <w:t>4.2 计量水平</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_Toc30607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F737FD9">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"_Toc31362" </w:instrText>
          </w:r>
          <w:r>
            <w:fldChar w:fldCharType="separate"/>
          </w:r>
          <w:r>
            <w:rPr>
              <w:rFonts w:hint="eastAsia" w:asciiTheme="minorEastAsia" w:hAnsiTheme="minorEastAsia" w:eastAsiaTheme="minorEastAsia" w:cstheme="minorEastAsia"/>
              <w:sz w:val="24"/>
              <w:szCs w:val="24"/>
              <w:lang w:eastAsia="zh-CN"/>
            </w:rPr>
            <w:t>4.3 认证认可情况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_Toc31362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CFC6CFD">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"_Toc19344" </w:instrText>
          </w:r>
          <w:r>
            <w:fldChar w:fldCharType="separate"/>
          </w:r>
          <w:r>
            <w:rPr>
              <w:rFonts w:hint="eastAsia" w:asciiTheme="minorEastAsia" w:hAnsiTheme="minorEastAsia" w:eastAsiaTheme="minorEastAsia" w:cstheme="minorEastAsia"/>
              <w:sz w:val="24"/>
              <w:szCs w:val="24"/>
              <w:lang w:eastAsia="zh-CN"/>
            </w:rPr>
            <w:t>4.4 特种设备安全管理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_Toc19344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AEE18D9">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"_Toc13921" </w:instrText>
          </w:r>
          <w:r>
            <w:fldChar w:fldCharType="separate"/>
          </w:r>
          <w:r>
            <w:rPr>
              <w:rFonts w:hint="eastAsia" w:asciiTheme="minorEastAsia" w:hAnsiTheme="minorEastAsia" w:eastAsiaTheme="minorEastAsia" w:cstheme="minorEastAsia"/>
              <w:spacing w:val="2"/>
              <w:sz w:val="24"/>
              <w:szCs w:val="24"/>
              <w:lang w:eastAsia="zh-CN"/>
            </w:rPr>
            <w:t>第五</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产品质</w:t>
          </w:r>
          <w:r>
            <w:rPr>
              <w:rFonts w:hint="eastAsia" w:asciiTheme="minorEastAsia" w:hAnsiTheme="minorEastAsia" w:eastAsiaTheme="minorEastAsia" w:cstheme="minorEastAsia"/>
              <w:sz w:val="24"/>
              <w:szCs w:val="24"/>
              <w:lang w:eastAsia="zh-CN"/>
            </w:rPr>
            <w:t>量</w:t>
          </w:r>
          <w:r>
            <w:rPr>
              <w:rFonts w:hint="eastAsia" w:asciiTheme="minorEastAsia" w:hAnsiTheme="minorEastAsia" w:eastAsiaTheme="minorEastAsia" w:cstheme="minorEastAsia"/>
              <w:spacing w:val="2"/>
              <w:sz w:val="24"/>
              <w:szCs w:val="24"/>
              <w:lang w:eastAsia="zh-CN"/>
            </w:rPr>
            <w:t>责</w:t>
          </w:r>
          <w:r>
            <w:rPr>
              <w:rFonts w:hint="eastAsia" w:asciiTheme="minorEastAsia" w:hAnsiTheme="minorEastAsia" w:eastAsiaTheme="minorEastAsia" w:cstheme="minorEastAsia"/>
              <w:sz w:val="24"/>
              <w:szCs w:val="24"/>
              <w:lang w:eastAsia="zh-CN"/>
            </w:rPr>
            <w:t>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_Toc13921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1B3C2F40">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"_Toc22767" </w:instrText>
          </w:r>
          <w:r>
            <w:fldChar w:fldCharType="separate"/>
          </w:r>
          <w:r>
            <w:rPr>
              <w:rFonts w:hint="eastAsia" w:asciiTheme="minorEastAsia" w:hAnsiTheme="minorEastAsia" w:eastAsiaTheme="minorEastAsia" w:cstheme="minorEastAsia"/>
              <w:sz w:val="24"/>
              <w:szCs w:val="24"/>
              <w:lang w:eastAsia="zh-CN"/>
            </w:rPr>
            <w:t>5.1 产品质量承诺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_Toc22767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EED6BCF">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"_Toc4467" </w:instrText>
          </w:r>
          <w:r>
            <w:fldChar w:fldCharType="separate"/>
          </w:r>
          <w:r>
            <w:rPr>
              <w:rFonts w:hint="eastAsia" w:asciiTheme="minorEastAsia" w:hAnsiTheme="minorEastAsia" w:eastAsiaTheme="minorEastAsia" w:cstheme="minorEastAsia"/>
              <w:sz w:val="24"/>
              <w:szCs w:val="24"/>
              <w:lang w:eastAsia="zh-CN"/>
            </w:rPr>
            <w:t>5.2 产品荣誉情况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_Toc4467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54DE1EE">
          <w:pPr>
            <w:pStyle w:val="13"/>
            <w:tabs>
              <w:tab w:val="right" w:leader="dot" w:pos="9407"/>
            </w:tabs>
            <w:spacing w:line="360" w:lineRule="auto"/>
            <w:rPr>
              <w:rFonts w:hint="eastAsia" w:asciiTheme="minorEastAsia" w:hAnsiTheme="minorEastAsia" w:eastAsiaTheme="minorEastAsia" w:cstheme="minorEastAsia"/>
              <w:sz w:val="24"/>
              <w:szCs w:val="24"/>
            </w:rPr>
          </w:pPr>
          <w:r>
            <w:fldChar w:fldCharType="begin"/>
          </w:r>
          <w:r>
            <w:instrText xml:space="preserve"> HYPERLINK \l "_Toc27596" </w:instrText>
          </w:r>
          <w:r>
            <w:fldChar w:fldCharType="separate"/>
          </w:r>
          <w:r>
            <w:rPr>
              <w:rFonts w:hint="eastAsia" w:asciiTheme="minorEastAsia" w:hAnsiTheme="minorEastAsia" w:eastAsiaTheme="minorEastAsia" w:cstheme="minorEastAsia"/>
              <w:spacing w:val="2"/>
              <w:sz w:val="24"/>
              <w:szCs w:val="24"/>
              <w:lang w:eastAsia="zh-CN"/>
            </w:rPr>
            <w:t>第六</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质量风</w:t>
          </w:r>
          <w:r>
            <w:rPr>
              <w:rFonts w:hint="eastAsia" w:asciiTheme="minorEastAsia" w:hAnsiTheme="minorEastAsia" w:eastAsiaTheme="minorEastAsia" w:cstheme="minorEastAsia"/>
              <w:sz w:val="24"/>
              <w:szCs w:val="24"/>
              <w:lang w:eastAsia="zh-CN"/>
            </w:rPr>
            <w:t>险</w:t>
          </w:r>
          <w:r>
            <w:rPr>
              <w:rFonts w:hint="eastAsia" w:asciiTheme="minorEastAsia" w:hAnsiTheme="minorEastAsia" w:eastAsiaTheme="minorEastAsia" w:cstheme="minorEastAsia"/>
              <w:spacing w:val="2"/>
              <w:sz w:val="24"/>
              <w:szCs w:val="24"/>
              <w:lang w:eastAsia="zh-CN"/>
            </w:rPr>
            <w:t>管</w:t>
          </w:r>
          <w:r>
            <w:rPr>
              <w:rFonts w:hint="eastAsia" w:asciiTheme="minorEastAsia" w:hAnsiTheme="minorEastAsia" w:eastAsiaTheme="minorEastAsia" w:cstheme="minorEastAsia"/>
              <w:sz w:val="24"/>
              <w:szCs w:val="24"/>
              <w:lang w:eastAsia="zh-CN"/>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_Toc27596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7E13982">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"_Toc25538" </w:instrText>
          </w:r>
          <w:r>
            <w:fldChar w:fldCharType="separate"/>
          </w:r>
          <w:r>
            <w:rPr>
              <w:rFonts w:hint="eastAsia" w:asciiTheme="minorEastAsia" w:hAnsiTheme="minorEastAsia" w:eastAsiaTheme="minorEastAsia" w:cstheme="minorEastAsia"/>
              <w:sz w:val="24"/>
              <w:szCs w:val="24"/>
              <w:lang w:eastAsia="zh-CN"/>
            </w:rPr>
            <w:t>6.1 质量投诉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_Toc25538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56680618">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"_Toc28364" </w:instrText>
          </w:r>
          <w:r>
            <w:fldChar w:fldCharType="separate"/>
          </w:r>
          <w:r>
            <w:rPr>
              <w:rFonts w:hint="eastAsia" w:asciiTheme="minorEastAsia" w:hAnsiTheme="minorEastAsia" w:eastAsiaTheme="minorEastAsia" w:cstheme="minorEastAsia"/>
              <w:sz w:val="24"/>
              <w:szCs w:val="24"/>
              <w:lang w:eastAsia="zh-CN"/>
            </w:rPr>
            <w:t>6.2 质量风险监测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_Toc28364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FBEA6B3">
          <w:pPr>
            <w:pStyle w:val="14"/>
            <w:tabs>
              <w:tab w:val="right" w:leader="dot" w:pos="9407"/>
            </w:tabs>
            <w:spacing w:line="360" w:lineRule="auto"/>
            <w:ind w:left="440"/>
            <w:rPr>
              <w:rFonts w:hint="eastAsia" w:asciiTheme="minorEastAsia" w:hAnsiTheme="minorEastAsia" w:eastAsiaTheme="minorEastAsia" w:cstheme="minorEastAsia"/>
              <w:sz w:val="24"/>
              <w:szCs w:val="24"/>
            </w:rPr>
          </w:pPr>
          <w:r>
            <w:fldChar w:fldCharType="begin"/>
          </w:r>
          <w:r>
            <w:instrText xml:space="preserve"> HYPERLINK \l "_Toc7451" </w:instrText>
          </w:r>
          <w:r>
            <w:fldChar w:fldCharType="separate"/>
          </w:r>
          <w:r>
            <w:rPr>
              <w:rFonts w:hint="eastAsia" w:asciiTheme="minorEastAsia" w:hAnsiTheme="minorEastAsia" w:eastAsiaTheme="minorEastAsia" w:cstheme="minorEastAsia"/>
              <w:sz w:val="24"/>
              <w:szCs w:val="24"/>
              <w:lang w:eastAsia="zh-CN"/>
            </w:rPr>
            <w:t>6.3 应急管理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_Toc7451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000E1505">
          <w:pPr>
            <w:pStyle w:val="13"/>
            <w:tabs>
              <w:tab w:val="right" w:pos="2000"/>
              <w:tab w:val="right" w:leader="dot" w:pos="9407"/>
            </w:tabs>
            <w:spacing w:line="360" w:lineRule="auto"/>
          </w:pPr>
          <w:r>
            <w:fldChar w:fldCharType="begin"/>
          </w:r>
          <w:r>
            <w:instrText xml:space="preserve"> HYPERLINK \l "_Toc27484" </w:instrText>
          </w:r>
          <w:r>
            <w:fldChar w:fldCharType="separate"/>
          </w:r>
          <w:r>
            <w:rPr>
              <w:rFonts w:hint="eastAsia" w:asciiTheme="minorEastAsia" w:hAnsiTheme="minorEastAsia" w:eastAsiaTheme="minorEastAsia" w:cstheme="minorEastAsia"/>
              <w:sz w:val="24"/>
              <w:szCs w:val="24"/>
              <w:lang w:eastAsia="zh-CN"/>
            </w:rPr>
            <w:t>结</w:t>
          </w:r>
          <w:r>
            <w:rPr>
              <w:rFonts w:hint="eastAsia" w:asciiTheme="minorEastAsia" w:hAnsiTheme="minorEastAsia" w:eastAsiaTheme="minorEastAsia" w:cstheme="minorEastAsia"/>
              <w:sz w:val="24"/>
              <w:szCs w:val="24"/>
              <w:lang w:eastAsia="zh-CN"/>
            </w:rPr>
            <w:tab/>
          </w:r>
          <w:r>
            <w:rPr>
              <w:rFonts w:hint="eastAsia" w:asciiTheme="minorEastAsia" w:hAnsiTheme="minorEastAsia" w:eastAsiaTheme="minorEastAsia" w:cstheme="minorEastAsia"/>
              <w:sz w:val="24"/>
              <w:szCs w:val="24"/>
              <w:lang w:eastAsia="zh-CN"/>
            </w:rPr>
            <w:t>语</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_Toc27484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7491B30">
          <w:pPr>
            <w:pStyle w:val="24"/>
            <w:tabs>
              <w:tab w:val="left" w:pos="1286"/>
            </w:tabs>
            <w:spacing w:line="360" w:lineRule="auto"/>
            <w:ind w:right="217"/>
            <w:jc w:val="both"/>
            <w:rPr>
              <w:rFonts w:hint="eastAsia"/>
              <w:lang w:eastAsia="zh-CN"/>
            </w:rPr>
          </w:pPr>
          <w:r>
            <w:rPr>
              <w:rFonts w:hint="eastAsia"/>
              <w:lang w:eastAsia="zh-CN"/>
            </w:rPr>
            <w:fldChar w:fldCharType="end"/>
          </w:r>
        </w:p>
      </w:sdtContent>
    </w:sdt>
    <w:p w14:paraId="0AA4C706">
      <w:pPr>
        <w:tabs>
          <w:tab w:val="left" w:pos="6322"/>
        </w:tabs>
        <w:rPr>
          <w:sz w:val="16"/>
          <w:szCs w:val="16"/>
          <w:lang w:eastAsia="zh-CN"/>
        </w:rPr>
      </w:pPr>
    </w:p>
    <w:p w14:paraId="6E73F656">
      <w:pPr>
        <w:pStyle w:val="2"/>
        <w:rPr>
          <w:lang w:eastAsia="zh-CN"/>
        </w:rPr>
      </w:pPr>
      <w:bookmarkStart w:id="4" w:name="_Toc16735"/>
      <w:r>
        <w:rPr>
          <w:rFonts w:hint="eastAsia"/>
          <w:lang w:eastAsia="zh-CN"/>
        </w:rPr>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4"/>
    </w:p>
    <w:p w14:paraId="71BE342E">
      <w:pPr>
        <w:pStyle w:val="4"/>
        <w:ind w:firstLine="480"/>
        <w:rPr>
          <w:szCs w:val="24"/>
          <w:lang w:eastAsia="zh-CN"/>
        </w:rPr>
      </w:pPr>
      <w:bookmarkStart w:id="5" w:name="_Toc13265"/>
      <w:r>
        <w:rPr>
          <w:rFonts w:hint="eastAsia"/>
          <w:szCs w:val="24"/>
          <w:lang w:eastAsia="zh-CN"/>
        </w:rPr>
        <w:t>1.1  企业使命</w:t>
      </w:r>
      <w:bookmarkEnd w:id="5"/>
    </w:p>
    <w:p w14:paraId="28E4BB21">
      <w:pPr>
        <w:spacing w:line="360" w:lineRule="auto"/>
        <w:ind w:firstLine="1205" w:firstLineChars="500"/>
        <w:rPr>
          <w:rFonts w:hint="eastAsia" w:ascii="宋体" w:hAnsi="宋体"/>
          <w:b/>
          <w:bCs/>
          <w:sz w:val="24"/>
          <w:szCs w:val="24"/>
          <w:lang w:eastAsia="zh-CN"/>
        </w:rPr>
      </w:pPr>
      <w:r>
        <w:rPr>
          <w:rFonts w:hint="eastAsia" w:ascii="宋体" w:hAnsi="宋体"/>
          <w:b/>
          <w:bCs/>
          <w:sz w:val="24"/>
          <w:szCs w:val="24"/>
          <w:lang w:eastAsia="zh-CN"/>
        </w:rPr>
        <w:t>致力于为社会提供安全、环保、节能的电线电缆产品和服务。</w:t>
      </w:r>
    </w:p>
    <w:p w14:paraId="69EBA28C">
      <w:pPr>
        <w:pStyle w:val="4"/>
        <w:ind w:firstLine="480"/>
        <w:rPr>
          <w:szCs w:val="24"/>
          <w:lang w:eastAsia="zh-CN"/>
        </w:rPr>
      </w:pPr>
      <w:bookmarkStart w:id="6" w:name="_Toc1278"/>
      <w:r>
        <w:rPr>
          <w:rFonts w:hint="eastAsia"/>
          <w:szCs w:val="24"/>
          <w:lang w:eastAsia="zh-CN"/>
        </w:rPr>
        <w:t>1.2  公司愿景</w:t>
      </w:r>
      <w:bookmarkEnd w:id="6"/>
    </w:p>
    <w:p w14:paraId="0FC7D298">
      <w:pPr>
        <w:spacing w:line="360" w:lineRule="auto"/>
        <w:ind w:firstLine="1205" w:firstLineChars="500"/>
        <w:rPr>
          <w:rFonts w:ascii="宋体"/>
          <w:b/>
          <w:kern w:val="2"/>
          <w:sz w:val="24"/>
          <w:szCs w:val="24"/>
          <w:lang w:eastAsia="zh-CN"/>
        </w:rPr>
      </w:pPr>
      <w:r>
        <w:rPr>
          <w:rFonts w:hint="eastAsia" w:ascii="宋体" w:hAnsi="宋体"/>
          <w:b/>
          <w:bCs/>
          <w:sz w:val="24"/>
          <w:lang w:eastAsia="zh-CN"/>
        </w:rPr>
        <w:t>创电线电缆产业一线品牌、做特种电线电缆产业的开拓者</w:t>
      </w:r>
      <w:r>
        <w:rPr>
          <w:rFonts w:hint="eastAsia" w:ascii="宋体"/>
          <w:b/>
          <w:kern w:val="2"/>
          <w:sz w:val="24"/>
          <w:szCs w:val="24"/>
          <w:lang w:eastAsia="zh-CN"/>
        </w:rPr>
        <w:t>。</w:t>
      </w:r>
    </w:p>
    <w:p w14:paraId="7FE6BCC0">
      <w:pPr>
        <w:pStyle w:val="4"/>
        <w:ind w:firstLine="480"/>
        <w:rPr>
          <w:szCs w:val="24"/>
          <w:lang w:eastAsia="zh-CN"/>
        </w:rPr>
      </w:pPr>
      <w:bookmarkStart w:id="7" w:name="_Toc7517"/>
      <w:r>
        <w:rPr>
          <w:rFonts w:hint="eastAsia"/>
          <w:szCs w:val="24"/>
          <w:lang w:eastAsia="zh-CN"/>
        </w:rPr>
        <w:t>1.3  核心价值观</w:t>
      </w:r>
      <w:bookmarkEnd w:id="7"/>
    </w:p>
    <w:p w14:paraId="51E4000B">
      <w:pPr>
        <w:spacing w:line="360" w:lineRule="auto"/>
        <w:ind w:firstLine="1205" w:firstLineChars="500"/>
        <w:rPr>
          <w:rFonts w:ascii="宋体"/>
          <w:b/>
          <w:kern w:val="2"/>
          <w:sz w:val="24"/>
          <w:szCs w:val="24"/>
          <w:lang w:eastAsia="zh-CN"/>
        </w:rPr>
      </w:pPr>
      <w:r>
        <w:rPr>
          <w:rFonts w:hint="eastAsia" w:ascii="宋体" w:hAnsi="宋体"/>
          <w:b/>
          <w:bCs/>
          <w:sz w:val="24"/>
          <w:lang w:eastAsia="zh-CN"/>
        </w:rPr>
        <w:t>开拓创新、开辟未来。</w:t>
      </w:r>
    </w:p>
    <w:p w14:paraId="32E28E39">
      <w:pPr>
        <w:pStyle w:val="4"/>
        <w:ind w:firstLine="480"/>
        <w:rPr>
          <w:szCs w:val="24"/>
          <w:lang w:eastAsia="zh-CN"/>
        </w:rPr>
      </w:pPr>
      <w:bookmarkStart w:id="8" w:name="_Toc24631"/>
      <w:r>
        <w:rPr>
          <w:rFonts w:hint="eastAsia"/>
          <w:szCs w:val="24"/>
          <w:lang w:eastAsia="zh-CN"/>
        </w:rPr>
        <w:t>1.4  公司</w:t>
      </w:r>
      <w:r>
        <w:rPr>
          <w:rFonts w:hint="eastAsia"/>
          <w:szCs w:val="24"/>
          <w:lang w:val="en-US" w:eastAsia="zh-CN"/>
        </w:rPr>
        <w:t>管理</w:t>
      </w:r>
      <w:r>
        <w:rPr>
          <w:rFonts w:hint="eastAsia"/>
          <w:szCs w:val="24"/>
          <w:lang w:eastAsia="zh-CN"/>
        </w:rPr>
        <w:t>方针：</w:t>
      </w:r>
      <w:bookmarkEnd w:id="8"/>
    </w:p>
    <w:p w14:paraId="706923F1">
      <w:pPr>
        <w:spacing w:line="360" w:lineRule="auto"/>
        <w:ind w:firstLine="1205" w:firstLineChars="500"/>
        <w:rPr>
          <w:rFonts w:hint="eastAsia" w:ascii="宋体" w:hAnsi="宋体"/>
          <w:b/>
          <w:bCs/>
          <w:sz w:val="24"/>
          <w:lang w:eastAsia="zh-CN"/>
        </w:rPr>
      </w:pPr>
      <w:r>
        <w:rPr>
          <w:rFonts w:hint="eastAsia" w:ascii="宋体" w:hAnsi="宋体"/>
          <w:b/>
          <w:bCs/>
          <w:sz w:val="24"/>
          <w:lang w:eastAsia="zh-CN"/>
        </w:rPr>
        <w:t xml:space="preserve">累积点滴改进，迈向卓越品质;拒安全事故，保员工健康； </w:t>
      </w:r>
    </w:p>
    <w:p w14:paraId="458554E8">
      <w:pPr>
        <w:spacing w:line="360" w:lineRule="auto"/>
        <w:ind w:firstLine="1205" w:firstLineChars="500"/>
        <w:rPr>
          <w:rFonts w:hint="eastAsia" w:ascii="宋体" w:hAnsi="宋体"/>
          <w:b/>
          <w:bCs/>
          <w:sz w:val="24"/>
          <w:lang w:eastAsia="zh-CN"/>
        </w:rPr>
      </w:pPr>
      <w:r>
        <w:rPr>
          <w:rFonts w:hint="eastAsia" w:ascii="宋体" w:hAnsi="宋体"/>
          <w:b/>
          <w:bCs/>
          <w:sz w:val="24"/>
          <w:lang w:eastAsia="zh-CN"/>
        </w:rPr>
        <w:t>为合作伙伴创造价值,合作伙伴共赢；为社会创造价值，推进科技进步。</w:t>
      </w:r>
    </w:p>
    <w:p w14:paraId="271711B6">
      <w:pPr>
        <w:pStyle w:val="4"/>
        <w:ind w:firstLine="480"/>
        <w:rPr>
          <w:szCs w:val="24"/>
          <w:lang w:eastAsia="zh-CN"/>
        </w:rPr>
      </w:pPr>
      <w:bookmarkStart w:id="9" w:name="_Toc9395"/>
      <w:r>
        <w:rPr>
          <w:rFonts w:hint="eastAsia"/>
          <w:szCs w:val="24"/>
          <w:lang w:eastAsia="zh-CN"/>
        </w:rPr>
        <w:t>1.5  质量诚信方针</w:t>
      </w:r>
      <w:bookmarkEnd w:id="9"/>
    </w:p>
    <w:p w14:paraId="3B0F4D42">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诚信为本、信誉至上。</w:t>
      </w:r>
    </w:p>
    <w:p w14:paraId="5513A428">
      <w:pPr>
        <w:pStyle w:val="4"/>
        <w:ind w:firstLine="480"/>
        <w:rPr>
          <w:szCs w:val="24"/>
          <w:lang w:eastAsia="zh-CN"/>
        </w:rPr>
      </w:pPr>
      <w:bookmarkStart w:id="10" w:name="_Toc23890"/>
      <w:r>
        <w:rPr>
          <w:rFonts w:hint="eastAsia"/>
          <w:szCs w:val="24"/>
          <w:lang w:eastAsia="zh-CN"/>
        </w:rPr>
        <w:t>1.6 质量承诺</w:t>
      </w:r>
      <w:bookmarkEnd w:id="10"/>
    </w:p>
    <w:p w14:paraId="6D8D81CC">
      <w:pPr>
        <w:spacing w:line="360" w:lineRule="auto"/>
        <w:ind w:firstLine="482" w:firstLineChars="200"/>
        <w:rPr>
          <w:rFonts w:hint="eastAsia" w:ascii="宋体" w:hAnsi="宋体"/>
          <w:b/>
          <w:bCs/>
          <w:sz w:val="24"/>
          <w:lang w:eastAsia="zh-CN"/>
        </w:rPr>
      </w:pPr>
      <w:r>
        <w:rPr>
          <w:rFonts w:hint="eastAsia" w:ascii="宋体" w:hAnsi="宋体"/>
          <w:b/>
          <w:bCs/>
          <w:sz w:val="24"/>
          <w:lang w:eastAsia="zh-CN"/>
        </w:rPr>
        <w:t>自出厂之日起 36 个月内，在用户正常使用条件下，因产品的制造质量问题而不能正常使用时，提供免费更换服务。接到用户质量反馈时，我司会在 24 小时内做出响应，并在 48 小时内给出具体解决方案。我司建立质量信息追溯系统，保证产品具有可追溯性的唯一性标识。</w:t>
      </w:r>
    </w:p>
    <w:p w14:paraId="68B96532">
      <w:pPr>
        <w:pStyle w:val="5"/>
        <w:rPr>
          <w:rFonts w:ascii="宋体"/>
          <w:b/>
          <w:kern w:val="2"/>
          <w:szCs w:val="24"/>
          <w:lang w:eastAsia="zh-CN"/>
        </w:rPr>
      </w:pPr>
    </w:p>
    <w:p w14:paraId="2B6C1332">
      <w:pPr>
        <w:pStyle w:val="5"/>
        <w:rPr>
          <w:rFonts w:ascii="宋体"/>
          <w:b/>
          <w:kern w:val="2"/>
          <w:szCs w:val="24"/>
          <w:lang w:eastAsia="zh-CN"/>
        </w:rPr>
      </w:pPr>
    </w:p>
    <w:p w14:paraId="6C292B72">
      <w:pPr>
        <w:pStyle w:val="5"/>
        <w:rPr>
          <w:rFonts w:ascii="宋体"/>
          <w:b/>
          <w:kern w:val="2"/>
          <w:szCs w:val="24"/>
          <w:lang w:eastAsia="zh-CN"/>
        </w:rPr>
      </w:pPr>
    </w:p>
    <w:p w14:paraId="02749CCB">
      <w:pPr>
        <w:pStyle w:val="5"/>
        <w:rPr>
          <w:rFonts w:ascii="宋体"/>
          <w:b/>
          <w:kern w:val="2"/>
          <w:szCs w:val="24"/>
          <w:lang w:eastAsia="zh-CN"/>
        </w:rPr>
      </w:pPr>
    </w:p>
    <w:p w14:paraId="4EAFCC45">
      <w:pPr>
        <w:pStyle w:val="5"/>
        <w:rPr>
          <w:rFonts w:ascii="宋体"/>
          <w:b/>
          <w:kern w:val="2"/>
          <w:szCs w:val="24"/>
          <w:lang w:eastAsia="zh-CN"/>
        </w:rPr>
      </w:pPr>
    </w:p>
    <w:p w14:paraId="493C5992">
      <w:pPr>
        <w:pStyle w:val="5"/>
        <w:rPr>
          <w:rFonts w:ascii="宋体"/>
          <w:b/>
          <w:kern w:val="2"/>
          <w:szCs w:val="24"/>
          <w:lang w:eastAsia="zh-CN"/>
        </w:rPr>
      </w:pPr>
    </w:p>
    <w:p w14:paraId="2B45131A">
      <w:pPr>
        <w:pStyle w:val="5"/>
        <w:rPr>
          <w:rFonts w:ascii="宋体"/>
          <w:b/>
          <w:kern w:val="2"/>
          <w:szCs w:val="24"/>
          <w:lang w:eastAsia="zh-CN"/>
        </w:rPr>
      </w:pPr>
    </w:p>
    <w:p w14:paraId="169FA899">
      <w:pPr>
        <w:pStyle w:val="5"/>
        <w:rPr>
          <w:rFonts w:ascii="宋体"/>
          <w:b/>
          <w:kern w:val="2"/>
          <w:szCs w:val="24"/>
          <w:lang w:eastAsia="zh-CN"/>
        </w:rPr>
      </w:pPr>
    </w:p>
    <w:p w14:paraId="54A9043B">
      <w:pPr>
        <w:pStyle w:val="5"/>
        <w:rPr>
          <w:rFonts w:ascii="宋体"/>
          <w:b/>
          <w:kern w:val="2"/>
          <w:szCs w:val="24"/>
          <w:lang w:eastAsia="zh-CN"/>
        </w:rPr>
      </w:pPr>
    </w:p>
    <w:p w14:paraId="2E9B2E23">
      <w:pPr>
        <w:pStyle w:val="5"/>
        <w:rPr>
          <w:rFonts w:ascii="宋体"/>
          <w:b/>
          <w:kern w:val="2"/>
          <w:szCs w:val="24"/>
          <w:lang w:eastAsia="zh-CN"/>
        </w:rPr>
      </w:pPr>
    </w:p>
    <w:p w14:paraId="46B38FE2">
      <w:pPr>
        <w:pStyle w:val="5"/>
        <w:rPr>
          <w:rFonts w:ascii="宋体"/>
          <w:b/>
          <w:kern w:val="2"/>
          <w:szCs w:val="24"/>
          <w:lang w:eastAsia="zh-CN"/>
        </w:rPr>
      </w:pPr>
    </w:p>
    <w:p w14:paraId="13FA96DA">
      <w:pPr>
        <w:pStyle w:val="5"/>
        <w:rPr>
          <w:rFonts w:ascii="宋体"/>
          <w:b/>
          <w:kern w:val="2"/>
          <w:szCs w:val="24"/>
          <w:lang w:eastAsia="zh-CN"/>
        </w:rPr>
      </w:pPr>
    </w:p>
    <w:p w14:paraId="0F79EAD6">
      <w:pPr>
        <w:pStyle w:val="5"/>
        <w:rPr>
          <w:rFonts w:ascii="宋体"/>
          <w:b/>
          <w:kern w:val="2"/>
          <w:szCs w:val="24"/>
          <w:lang w:eastAsia="zh-CN"/>
        </w:rPr>
      </w:pPr>
    </w:p>
    <w:p w14:paraId="5332CBB6">
      <w:pPr>
        <w:pStyle w:val="5"/>
        <w:rPr>
          <w:rFonts w:ascii="宋体"/>
          <w:b/>
          <w:kern w:val="2"/>
          <w:szCs w:val="24"/>
          <w:lang w:eastAsia="zh-CN"/>
        </w:rPr>
      </w:pPr>
    </w:p>
    <w:p w14:paraId="45B3323C">
      <w:pPr>
        <w:pStyle w:val="2"/>
        <w:rPr>
          <w:lang w:eastAsia="zh-CN"/>
        </w:rPr>
      </w:pPr>
      <w:bookmarkStart w:id="11" w:name="_Toc2218"/>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1"/>
    </w:p>
    <w:p w14:paraId="069B05FC">
      <w:pPr>
        <w:pStyle w:val="4"/>
        <w:ind w:firstLine="480"/>
        <w:rPr>
          <w:szCs w:val="24"/>
          <w:lang w:eastAsia="zh-CN"/>
        </w:rPr>
      </w:pPr>
      <w:bookmarkStart w:id="12" w:name="_Toc2935"/>
      <w:r>
        <w:rPr>
          <w:rFonts w:hint="eastAsia"/>
          <w:szCs w:val="24"/>
          <w:lang w:eastAsia="zh-CN"/>
        </w:rPr>
        <w:t>2.1 质量管理机构</w:t>
      </w:r>
      <w:bookmarkEnd w:id="12"/>
    </w:p>
    <w:p w14:paraId="04415464">
      <w:pPr>
        <w:pStyle w:val="7"/>
        <w:numPr>
          <w:ilvl w:val="2"/>
          <w:numId w:val="1"/>
        </w:numPr>
        <w:tabs>
          <w:tab w:val="left" w:pos="937"/>
        </w:tabs>
        <w:spacing w:line="360" w:lineRule="auto"/>
        <w:ind w:left="0" w:firstLine="528" w:firstLineChars="200"/>
        <w:rPr>
          <w:rFonts w:hint="eastAsia"/>
        </w:rPr>
      </w:pPr>
      <w:r>
        <w:rPr>
          <w:rFonts w:hint="eastAsia"/>
          <w:spacing w:val="2"/>
        </w:rPr>
        <w:t>组</w:t>
      </w:r>
      <w:r>
        <w:rPr>
          <w:rFonts w:hint="eastAsia"/>
        </w:rPr>
        <w:t>织架</w:t>
      </w:r>
      <w:r>
        <w:rPr>
          <w:rFonts w:hint="eastAsia"/>
          <w:spacing w:val="2"/>
        </w:rPr>
        <w:t>构</w:t>
      </w:r>
      <w:r>
        <w:rPr>
          <w:rFonts w:hint="eastAsia"/>
        </w:rPr>
        <w:t>图</w:t>
      </w:r>
    </w:p>
    <w:p w14:paraId="594F2A83">
      <w:pPr>
        <w:pStyle w:val="7"/>
        <w:tabs>
          <w:tab w:val="left" w:pos="937"/>
        </w:tabs>
        <w:spacing w:line="360" w:lineRule="auto"/>
        <w:ind w:left="0" w:firstLine="480" w:firstLineChars="200"/>
        <w:jc w:val="center"/>
        <w:rPr>
          <w:rFonts w:hint="eastAsia"/>
        </w:rPr>
      </w:pPr>
      <w:r>
        <w:rPr>
          <w:rFonts w:hint="eastAsia" w:ascii="宋体" w:hAnsi="宋体" w:eastAsia="仿宋"/>
          <w:color w:val="000000"/>
          <w:sz w:val="24"/>
          <w:szCs w:val="24"/>
          <w:lang w:eastAsia="zh-CN"/>
        </w:rPr>
        <w:drawing>
          <wp:inline distT="0" distB="0" distL="114300" distR="114300">
            <wp:extent cx="3596005" cy="2954020"/>
            <wp:effectExtent l="0" t="0" r="10795" b="5080"/>
            <wp:docPr id="6" name="图片 6" descr="175016783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0167832231"/>
                    <pic:cNvPicPr>
                      <a:picLocks noChangeAspect="1"/>
                    </pic:cNvPicPr>
                  </pic:nvPicPr>
                  <pic:blipFill>
                    <a:blip r:embed="rId11"/>
                    <a:stretch>
                      <a:fillRect/>
                    </a:stretch>
                  </pic:blipFill>
                  <pic:spPr>
                    <a:xfrm>
                      <a:off x="0" y="0"/>
                      <a:ext cx="3596005" cy="2954020"/>
                    </a:xfrm>
                    <a:prstGeom prst="rect">
                      <a:avLst/>
                    </a:prstGeom>
                  </pic:spPr>
                </pic:pic>
              </a:graphicData>
            </a:graphic>
          </wp:inline>
        </w:drawing>
      </w:r>
    </w:p>
    <w:p w14:paraId="4D1EC78B">
      <w:pPr>
        <w:pStyle w:val="7"/>
        <w:numPr>
          <w:ilvl w:val="2"/>
          <w:numId w:val="1"/>
        </w:numPr>
        <w:tabs>
          <w:tab w:val="left" w:pos="937"/>
        </w:tabs>
        <w:spacing w:line="360" w:lineRule="auto"/>
        <w:ind w:left="0" w:firstLine="528" w:firstLineChars="200"/>
        <w:rPr>
          <w:rFonts w:hint="eastAsia"/>
          <w:spacing w:val="2"/>
          <w:lang w:eastAsia="zh-CN"/>
        </w:rPr>
      </w:pPr>
      <w:r>
        <w:rPr>
          <w:rFonts w:hint="eastAsia"/>
          <w:spacing w:val="2"/>
          <w:lang w:eastAsia="zh-CN"/>
        </w:rPr>
        <w:t xml:space="preserve"> 管理者代表</w:t>
      </w:r>
    </w:p>
    <w:p w14:paraId="30DA052D">
      <w:pPr>
        <w:pStyle w:val="7"/>
        <w:spacing w:line="360" w:lineRule="auto"/>
        <w:ind w:firstLine="522"/>
        <w:rPr>
          <w:rFonts w:hint="eastAsia"/>
          <w:sz w:val="24"/>
          <w:szCs w:val="24"/>
          <w:lang w:eastAsia="zh-CN"/>
        </w:rPr>
      </w:pP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14:paraId="3705557B">
      <w:pPr>
        <w:pStyle w:val="7"/>
        <w:spacing w:line="360" w:lineRule="auto"/>
        <w:ind w:firstLine="522"/>
        <w:rPr>
          <w:rFonts w:hint="eastAsia"/>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标和《管理体系手册》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14:paraId="62AD2A1F">
      <w:pPr>
        <w:pStyle w:val="7"/>
        <w:spacing w:line="360" w:lineRule="auto"/>
        <w:ind w:right="-63" w:firstLine="522"/>
        <w:rPr>
          <w:rFonts w:hint="eastAsia"/>
          <w:spacing w:val="2"/>
          <w:sz w:val="24"/>
          <w:szCs w:val="24"/>
          <w:lang w:eastAsia="zh-CN"/>
        </w:rPr>
      </w:pPr>
      <w:r>
        <w:rPr>
          <w:spacing w:val="2"/>
          <w:sz w:val="24"/>
          <w:szCs w:val="24"/>
          <w:lang w:eastAsia="zh-CN"/>
        </w:rPr>
        <w:t>--</w:t>
      </w:r>
      <w:r>
        <w:rPr>
          <w:rFonts w:hint="eastAsia"/>
          <w:spacing w:val="2"/>
          <w:sz w:val="24"/>
          <w:szCs w:val="24"/>
          <w:lang w:eastAsia="zh-CN"/>
        </w:rPr>
        <w:t>按照</w:t>
      </w:r>
      <w:r>
        <w:rPr>
          <w:spacing w:val="2"/>
          <w:sz w:val="24"/>
          <w:szCs w:val="24"/>
          <w:lang w:eastAsia="zh-CN"/>
        </w:rPr>
        <w:t>ISO9001：2015</w:t>
      </w:r>
      <w:r>
        <w:rPr>
          <w:rFonts w:hint="eastAsia"/>
          <w:spacing w:val="2"/>
          <w:sz w:val="24"/>
          <w:szCs w:val="24"/>
          <w:lang w:eastAsia="zh-CN"/>
        </w:rPr>
        <w:t>标准，建设和完善公司质量管理体系，提升质量管理水平；</w:t>
      </w:r>
    </w:p>
    <w:p w14:paraId="2835CA52">
      <w:pPr>
        <w:pStyle w:val="7"/>
        <w:spacing w:line="360" w:lineRule="auto"/>
        <w:ind w:right="-63" w:firstLine="520"/>
        <w:rPr>
          <w:rFonts w:hint="eastAsia"/>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14:paraId="329F6436">
      <w:pPr>
        <w:pStyle w:val="7"/>
        <w:spacing w:line="360" w:lineRule="auto"/>
        <w:ind w:right="-63" w:firstLine="520"/>
        <w:rPr>
          <w:rFonts w:hint="eastAsia"/>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14:paraId="27D43CD7">
      <w:pPr>
        <w:pStyle w:val="7"/>
        <w:spacing w:line="360" w:lineRule="auto"/>
        <w:ind w:left="330" w:firstLine="441" w:firstLineChars="184"/>
        <w:rPr>
          <w:rFonts w:hint="eastAsia"/>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14:paraId="142EDA0D">
      <w:pPr>
        <w:pStyle w:val="7"/>
        <w:spacing w:line="360" w:lineRule="auto"/>
        <w:ind w:left="288" w:leftChars="131" w:firstLine="480" w:firstLineChars="200"/>
        <w:rPr>
          <w:rFonts w:hint="eastAsia"/>
          <w:sz w:val="24"/>
          <w:szCs w:val="24"/>
          <w:lang w:eastAsia="zh-CN"/>
        </w:rPr>
      </w:pPr>
      <w:r>
        <w:rPr>
          <w:sz w:val="24"/>
          <w:szCs w:val="24"/>
          <w:lang w:eastAsia="zh-CN"/>
        </w:rPr>
        <w:t>--</w:t>
      </w:r>
      <w:r>
        <w:rPr>
          <w:rFonts w:hint="eastAsia"/>
          <w:sz w:val="24"/>
          <w:szCs w:val="24"/>
          <w:lang w:eastAsia="zh-CN"/>
        </w:rPr>
        <w:t>公司就质量管理的有关事宜与外部联络和通；</w:t>
      </w:r>
    </w:p>
    <w:p w14:paraId="646FE54F">
      <w:pPr>
        <w:pStyle w:val="7"/>
        <w:spacing w:line="360" w:lineRule="auto"/>
        <w:ind w:left="288" w:leftChars="131" w:firstLine="480" w:firstLineChars="200"/>
        <w:rPr>
          <w:rFonts w:hint="eastAsia"/>
          <w:sz w:val="24"/>
          <w:szCs w:val="24"/>
          <w:lang w:eastAsia="zh-CN"/>
        </w:rPr>
      </w:pPr>
      <w:r>
        <w:rPr>
          <w:sz w:val="24"/>
          <w:szCs w:val="24"/>
          <w:lang w:eastAsia="zh-CN"/>
        </w:rPr>
        <w:t>--</w:t>
      </w:r>
      <w:r>
        <w:rPr>
          <w:rFonts w:hint="eastAsia"/>
          <w:sz w:val="24"/>
          <w:szCs w:val="24"/>
          <w:lang w:eastAsia="zh-CN"/>
        </w:rPr>
        <w:t>向公司汇报质量管理体系的业绩，包括改进的要求。</w:t>
      </w:r>
    </w:p>
    <w:p w14:paraId="33BCF791">
      <w:pPr>
        <w:pStyle w:val="7"/>
        <w:numPr>
          <w:ilvl w:val="2"/>
          <w:numId w:val="1"/>
        </w:numPr>
        <w:tabs>
          <w:tab w:val="left" w:pos="937"/>
        </w:tabs>
        <w:spacing w:line="360" w:lineRule="auto"/>
        <w:ind w:left="0" w:firstLine="528" w:firstLineChars="200"/>
        <w:rPr>
          <w:rFonts w:hint="eastAsia"/>
          <w:spacing w:val="2"/>
          <w:lang w:eastAsia="zh-CN"/>
        </w:rPr>
      </w:pPr>
      <w:r>
        <w:rPr>
          <w:rFonts w:hint="eastAsia"/>
          <w:spacing w:val="2"/>
          <w:lang w:eastAsia="zh-CN"/>
        </w:rPr>
        <w:t xml:space="preserve"> 综合管理部</w:t>
      </w:r>
    </w:p>
    <w:p w14:paraId="737256C8">
      <w:pPr>
        <w:pStyle w:val="7"/>
        <w:tabs>
          <w:tab w:val="left" w:pos="3668"/>
          <w:tab w:val="left" w:pos="9350"/>
        </w:tabs>
        <w:spacing w:line="360" w:lineRule="auto"/>
        <w:ind w:right="157" w:firstLine="520"/>
        <w:rPr>
          <w:rFonts w:hint="eastAsia"/>
          <w:lang w:eastAsia="zh-CN"/>
        </w:rPr>
      </w:pPr>
      <w:r>
        <w:rPr>
          <w:sz w:val="24"/>
          <w:szCs w:val="24"/>
          <w:lang w:eastAsia="zh-CN"/>
        </w:rPr>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14:paraId="04782016">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14:paraId="0F738EFD">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14:paraId="5F412CB7">
      <w:pPr>
        <w:pStyle w:val="7"/>
        <w:spacing w:line="360" w:lineRule="auto"/>
        <w:rPr>
          <w:rFonts w:hint="eastAsia"/>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14:paraId="625D5A25">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14:paraId="32582C56">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14:paraId="7BA9B27C">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14:paraId="383137AF">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14:paraId="5331F922">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14:paraId="3F2F6EE9">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14:paraId="19BEA728">
      <w:pPr>
        <w:pStyle w:val="7"/>
        <w:numPr>
          <w:ilvl w:val="2"/>
          <w:numId w:val="1"/>
        </w:numPr>
        <w:tabs>
          <w:tab w:val="left" w:pos="937"/>
        </w:tabs>
        <w:spacing w:line="360" w:lineRule="auto"/>
        <w:ind w:left="0" w:firstLine="528" w:firstLineChars="200"/>
        <w:rPr>
          <w:rFonts w:hint="eastAsia"/>
          <w:spacing w:val="2"/>
          <w:lang w:eastAsia="zh-CN"/>
        </w:rPr>
      </w:pPr>
      <w:r>
        <w:rPr>
          <w:rFonts w:hint="eastAsia"/>
          <w:spacing w:val="2"/>
          <w:lang w:eastAsia="zh-CN"/>
        </w:rPr>
        <w:t>质量管理部</w:t>
      </w:r>
    </w:p>
    <w:p w14:paraId="421F5A16">
      <w:pPr>
        <w:pStyle w:val="7"/>
        <w:tabs>
          <w:tab w:val="left" w:pos="4187"/>
        </w:tabs>
        <w:spacing w:line="360" w:lineRule="auto"/>
        <w:ind w:right="47" w:firstLine="520"/>
        <w:rPr>
          <w:rFonts w:hint="eastAsia"/>
          <w:sz w:val="24"/>
          <w:szCs w:val="24"/>
          <w:lang w:eastAsia="zh-CN"/>
        </w:rPr>
      </w:pP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14:paraId="47CFCC71">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14:paraId="09E2EBB6">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组织实施来料检验、过程检验、成品检验；</w:t>
      </w:r>
    </w:p>
    <w:p w14:paraId="617964BB">
      <w:pPr>
        <w:pStyle w:val="7"/>
        <w:spacing w:line="360" w:lineRule="auto"/>
        <w:ind w:right="-63" w:firstLine="520"/>
        <w:rPr>
          <w:rFonts w:hint="eastAsia"/>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14:paraId="091A3BF2">
      <w:pPr>
        <w:pStyle w:val="7"/>
        <w:tabs>
          <w:tab w:val="left" w:pos="3668"/>
        </w:tabs>
        <w:spacing w:line="360" w:lineRule="auto"/>
        <w:ind w:right="491" w:firstLine="520"/>
        <w:rPr>
          <w:rFonts w:hint="eastAsia"/>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14:paraId="4E7A5681">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14:paraId="4655776B">
      <w:pPr>
        <w:pStyle w:val="7"/>
        <w:spacing w:line="360" w:lineRule="auto"/>
        <w:ind w:right="47" w:firstLine="520"/>
        <w:rPr>
          <w:rFonts w:hint="eastAsia"/>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14:paraId="57D31491">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负责协调、组织解决车间之间的工艺、质量问题；</w:t>
      </w:r>
    </w:p>
    <w:p w14:paraId="57C8F091">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负责对本事业部质量事故的调查、处理，跟进验证整改措施结果；</w:t>
      </w:r>
    </w:p>
    <w:p w14:paraId="52C1C81C">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负责认证产品的例行检验和确认检验。</w:t>
      </w:r>
    </w:p>
    <w:p w14:paraId="6F26C76A">
      <w:pPr>
        <w:pStyle w:val="7"/>
        <w:spacing w:line="360" w:lineRule="auto"/>
        <w:ind w:right="127" w:firstLine="520"/>
        <w:rPr>
          <w:rFonts w:hint="eastAsia"/>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14:paraId="3DBD2744">
      <w:pPr>
        <w:pStyle w:val="7"/>
        <w:spacing w:line="360" w:lineRule="auto"/>
        <w:ind w:left="288" w:leftChars="131" w:right="91" w:firstLine="480" w:firstLineChars="200"/>
        <w:rPr>
          <w:rFonts w:hint="eastAsia"/>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14:paraId="1C983BFD">
      <w:pPr>
        <w:pStyle w:val="7"/>
        <w:spacing w:line="360" w:lineRule="auto"/>
        <w:ind w:firstLine="520"/>
        <w:rPr>
          <w:rFonts w:hint="eastAsia"/>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负责对质量检验数据的汇总、统计和分析，以及所采取纠正措施实施的跟踪验证；</w:t>
      </w:r>
    </w:p>
    <w:p w14:paraId="17421C0C">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14:paraId="5E3AC89B">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14:paraId="102ED0C2">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负责质量事故的调查和提出处理意见；</w:t>
      </w:r>
    </w:p>
    <w:p w14:paraId="6F0B4BE9">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负责客户投诉处理与督导责任单位改进；</w:t>
      </w:r>
    </w:p>
    <w:p w14:paraId="1F6C14A5">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负责对特殊工序、关键工序进行控制、监督和检查；</w:t>
      </w:r>
    </w:p>
    <w:p w14:paraId="1060C01B">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14:paraId="6AB68E31">
      <w:pPr>
        <w:pStyle w:val="7"/>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负责公司质量成本的统计、汇总和分析；</w:t>
      </w:r>
    </w:p>
    <w:p w14:paraId="7879EB74">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14:paraId="784AB26E">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14:paraId="64AC1860">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14:paraId="393002CD">
      <w:pPr>
        <w:pStyle w:val="7"/>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14:paraId="01E849D8">
      <w:pPr>
        <w:pStyle w:val="4"/>
        <w:ind w:firstLine="480"/>
        <w:rPr>
          <w:szCs w:val="24"/>
          <w:lang w:eastAsia="zh-CN"/>
        </w:rPr>
      </w:pPr>
      <w:bookmarkStart w:id="13" w:name="_Toc8178"/>
      <w:r>
        <w:rPr>
          <w:rFonts w:hint="eastAsia"/>
          <w:szCs w:val="24"/>
          <w:lang w:eastAsia="zh-CN"/>
        </w:rPr>
        <w:t>2.2 质量管理体系</w:t>
      </w:r>
      <w:bookmarkEnd w:id="13"/>
    </w:p>
    <w:p w14:paraId="47658F01">
      <w:pPr>
        <w:spacing w:line="360" w:lineRule="auto"/>
        <w:ind w:firstLine="600" w:firstLineChars="25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1</w:t>
      </w:r>
      <w:r>
        <w:rPr>
          <w:rFonts w:hint="eastAsia" w:asciiTheme="minorEastAsia" w:hAnsiTheme="minorEastAsia" w:eastAsiaTheme="minorEastAsia"/>
          <w:color w:val="000000"/>
          <w:sz w:val="24"/>
          <w:szCs w:val="24"/>
          <w:lang w:eastAsia="zh-CN"/>
        </w:rPr>
        <w:t>、公司按照</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标准要求建立质量管理体系，将其形成文件，加以保持和实施，并持续改进其有效性。为此应做到下述要求：</w:t>
      </w:r>
    </w:p>
    <w:p w14:paraId="1E2BE14D">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a)</w:t>
      </w:r>
      <w:r>
        <w:rPr>
          <w:rFonts w:hint="eastAsia" w:asciiTheme="minorEastAsia" w:hAnsiTheme="minorEastAsia" w:eastAsiaTheme="minorEastAsia"/>
          <w:color w:val="000000"/>
          <w:sz w:val="24"/>
          <w:szCs w:val="24"/>
          <w:lang w:eastAsia="zh-CN"/>
        </w:rPr>
        <w:t>确定质量管理体系所需要的过程及其在整个组织中的应用，并根据这些过程对产品品质的影响大小及复杂程度进行相应的控制；</w:t>
      </w:r>
    </w:p>
    <w:p w14:paraId="146EF97A">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14:paraId="00658122">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14:paraId="5117B796">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14:paraId="15EAE537">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14:paraId="6F682A2C">
      <w:pPr>
        <w:spacing w:line="360" w:lineRule="auto"/>
        <w:ind w:right="220" w:rightChars="100" w:firstLine="480" w:firstLineChars="200"/>
        <w:rPr>
          <w:rFonts w:hint="eastAsia"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本公司确保对任何影响产品符合要求的外包过程加以识别，并实施控制。本公司涉及公司外包过程是运输服务过程。对外包过程的控制，按</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标准的《采购控制程序》要求进行控制。</w:t>
      </w:r>
    </w:p>
    <w:p w14:paraId="0A26C6DC">
      <w:pPr>
        <w:spacing w:line="360" w:lineRule="auto"/>
        <w:ind w:firstLine="465"/>
        <w:rPr>
          <w:rFonts w:hint="eastAsia"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总的质量目标项目如下所示：</w:t>
      </w:r>
    </w:p>
    <w:p w14:paraId="0CA7968E">
      <w:pPr>
        <w:spacing w:line="500" w:lineRule="exact"/>
        <w:rPr>
          <w:rFonts w:hint="eastAsia" w:ascii="宋体" w:hAnsi="宋体" w:cs="宋体"/>
          <w:spacing w:val="20"/>
          <w:sz w:val="28"/>
          <w:szCs w:val="28"/>
          <w:lang w:eastAsia="zh-CN"/>
        </w:rPr>
      </w:pPr>
      <w:r>
        <w:rPr>
          <w:rFonts w:hint="eastAsia" w:ascii="宋体" w:hAnsi="宋体" w:cs="宋体"/>
          <w:spacing w:val="20"/>
          <w:sz w:val="28"/>
          <w:szCs w:val="28"/>
          <w:lang w:eastAsia="zh-CN"/>
        </w:rPr>
        <w:t xml:space="preserve">  质量目标：</w:t>
      </w:r>
    </w:p>
    <w:p w14:paraId="144774A5">
      <w:pPr>
        <w:adjustRightInd w:val="0"/>
        <w:snapToGrid w:val="0"/>
        <w:spacing w:line="360" w:lineRule="auto"/>
        <w:ind w:firstLine="601" w:firstLineChars="250"/>
        <w:rPr>
          <w:rFonts w:hint="eastAsia" w:ascii="华文楷体" w:hAnsi="华文楷体" w:eastAsia="华文楷体"/>
          <w:b/>
          <w:bCs/>
          <w:color w:val="000000"/>
          <w:sz w:val="24"/>
          <w:highlight w:val="none"/>
          <w:lang w:eastAsia="zh-CN"/>
        </w:rPr>
      </w:pPr>
      <w:bookmarkStart w:id="14" w:name="_Hlk74417401"/>
      <w:r>
        <w:rPr>
          <w:rFonts w:hint="eastAsia" w:ascii="华文楷体" w:hAnsi="华文楷体" w:eastAsia="华文楷体"/>
          <w:b/>
          <w:bCs/>
          <w:color w:val="000000"/>
          <w:sz w:val="24"/>
          <w:highlight w:val="none"/>
          <w:lang w:eastAsia="zh-CN"/>
        </w:rPr>
        <w:t>（1）产品检验合格率达到98%以上；</w:t>
      </w:r>
    </w:p>
    <w:p w14:paraId="1452941E">
      <w:pPr>
        <w:adjustRightInd w:val="0"/>
        <w:snapToGrid w:val="0"/>
        <w:spacing w:line="360" w:lineRule="auto"/>
        <w:ind w:firstLine="601" w:firstLineChars="250"/>
        <w:rPr>
          <w:rFonts w:hint="eastAsia" w:ascii="华文楷体" w:hAnsi="华文楷体" w:eastAsia="华文楷体"/>
          <w:b/>
          <w:bCs/>
          <w:color w:val="000000"/>
          <w:sz w:val="24"/>
          <w:highlight w:val="none"/>
          <w:lang w:eastAsia="zh-CN"/>
        </w:rPr>
      </w:pPr>
      <w:r>
        <w:rPr>
          <w:rFonts w:hint="eastAsia" w:ascii="华文楷体" w:hAnsi="华文楷体" w:eastAsia="华文楷体"/>
          <w:b/>
          <w:bCs/>
          <w:color w:val="000000"/>
          <w:sz w:val="24"/>
          <w:highlight w:val="none"/>
          <w:lang w:eastAsia="zh-CN"/>
        </w:rPr>
        <w:t>（2）顾客满意度达到95%以上。</w:t>
      </w:r>
    </w:p>
    <w:bookmarkEnd w:id="14"/>
    <w:p w14:paraId="3F0902E3">
      <w:pPr>
        <w:pStyle w:val="9"/>
        <w:tabs>
          <w:tab w:val="left" w:pos="645"/>
        </w:tabs>
        <w:spacing w:line="300" w:lineRule="auto"/>
        <w:ind w:left="396" w:right="156" w:rightChars="71" w:firstLine="240" w:firstLineChars="100"/>
        <w:rPr>
          <w:rFonts w:hint="eastAsia" w:cs="宋体" w:asciiTheme="minorEastAsia" w:hAnsiTheme="minorEastAsia" w:eastAsiaTheme="minorEastAsia"/>
          <w:sz w:val="24"/>
          <w:szCs w:val="24"/>
        </w:rPr>
      </w:pPr>
      <w:r>
        <w:rPr>
          <w:rFonts w:hint="eastAsia" w:asciiTheme="minorEastAsia" w:hAnsiTheme="minorEastAsia" w:eastAsiaTheme="minorEastAsia"/>
          <w:bCs/>
          <w:sz w:val="24"/>
          <w:szCs w:val="24"/>
        </w:rPr>
        <w:t>以上项目在每年年度计划时定出实际目标值。</w:t>
      </w:r>
      <w:r>
        <w:rPr>
          <w:rFonts w:asciiTheme="minorEastAsia" w:hAnsiTheme="minorEastAsia" w:eastAsiaTheme="minorEastAsia"/>
          <w:w w:val="99"/>
          <w:sz w:val="24"/>
          <w:szCs w:val="24"/>
        </w:rPr>
        <w:t xml:space="preserve"> </w:t>
      </w:r>
    </w:p>
    <w:p w14:paraId="57C09CF3">
      <w:pPr>
        <w:pStyle w:val="7"/>
        <w:numPr>
          <w:ilvl w:val="0"/>
          <w:numId w:val="2"/>
        </w:numPr>
        <w:spacing w:before="41" w:line="360" w:lineRule="auto"/>
        <w:ind w:left="0" w:firstLine="292" w:firstLineChars="120"/>
        <w:rPr>
          <w:rFonts w:hint="eastAsia"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公司先后通过了ISO9001：2015质量管理体系、ISO14001：2015环境管理体系认证、GB/T 45001-2020职业健康和安全管理体系认证，并有效导入到各岗位，提升各单位的管理水平。</w:t>
      </w:r>
    </w:p>
    <w:p w14:paraId="1351F1FE">
      <w:pPr>
        <w:pStyle w:val="2"/>
        <w:rPr>
          <w:spacing w:val="2"/>
          <w:lang w:eastAsia="zh-CN"/>
        </w:rPr>
      </w:pPr>
      <w:bookmarkStart w:id="15" w:name="_Toc26447"/>
    </w:p>
    <w:p w14:paraId="49BD5D56">
      <w:pPr>
        <w:pStyle w:val="2"/>
        <w:rPr>
          <w:lang w:eastAsia="zh-CN"/>
        </w:rPr>
      </w:pPr>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w:t>
      </w:r>
      <w:bookmarkEnd w:id="15"/>
    </w:p>
    <w:p w14:paraId="00B291B3">
      <w:pPr>
        <w:pStyle w:val="4"/>
        <w:ind w:firstLine="480"/>
        <w:rPr>
          <w:lang w:eastAsia="zh-CN"/>
        </w:rPr>
      </w:pPr>
      <w:bookmarkStart w:id="16" w:name="_Toc12410"/>
      <w:r>
        <w:rPr>
          <w:rFonts w:hint="eastAsia"/>
          <w:lang w:eastAsia="zh-CN"/>
        </w:rPr>
        <w:t>3.1 产品设计、原材料或零部件采购、生产和售后过程中的质量诚信管理</w:t>
      </w:r>
      <w:bookmarkEnd w:id="16"/>
    </w:p>
    <w:p w14:paraId="5D8C3141">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14:paraId="664A716A">
      <w:pPr>
        <w:widowControl/>
        <w:spacing w:line="360" w:lineRule="auto"/>
        <w:ind w:firstLine="480" w:firstLineChars="20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注重科学管理，建立了严格的产品质量管理体系，已通过ISO9001质量体系认证，公司注重技术提升，将引进消化与自主创新结合起来，引进了国内外先进的生产技术及设备，自主研发了自动化生产线和特种检测设备，建立了现代化的物理实验室和化学实验室，实现生产自动化。公司也非常注重品牌的塑造，凭借过硬的产品质量与优质的团队服务，赢得了广大经销商和客户的一致好评。</w:t>
      </w:r>
    </w:p>
    <w:p w14:paraId="50EDDCE7">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在研发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研发工作过程时充分考虑了新方法、新技术、新知识以及灵活性，并对过程中的时间周期、生产率以及成本控制等要求予以设计控制。</w:t>
      </w:r>
    </w:p>
    <w:p w14:paraId="50406B40">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重视研发投入，近三年研发经费总和达6771.34万余元。购入配备测厚仪、老化试验箱、换气老化试验箱、恒温水浴、电子万能试验机、数显式拉力试验机等检测设备50多台/套，有充足的经费完善测试仪器设备和对技术人员的考核激励，依靠自身的技术力量进行新产品的研究和开发，并取得一定的成绩。</w:t>
      </w:r>
    </w:p>
    <w:p w14:paraId="525F4E37">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14:paraId="2D487743">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控制程序》、《采购控制程序》、《供方评价和改进准则》、《原料检验标准》和《产品放行管理规定（试行）》等相关程序文件，对采购相关工作进行制度规范。</w:t>
      </w:r>
    </w:p>
    <w:p w14:paraId="501412AA">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 xml:space="preserve">公司坚持以精细化管理为基础，依靠推行清洁生产，在生产经营过程中，不断加大绿色采购、绿色物流。 工厂制订《供方评价和改进准则》并按该标准对供方进行选择、评价和再评价，确保供方能够提供符合工厂环保要求的原辅材料。工厂确定并实施检验或其他必要的活动，确保采购的产品满足规定的采购要求。 </w:t>
      </w:r>
    </w:p>
    <w:p w14:paraId="2D1CEEFB">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供应部为公司采购控制管理部门。公司依照《采购控制程序》对供应商进行严格管理，通过开发、评估、管理供应商，建立了一套成熟的供应商选择与退出、维护与评价以及改进和提升体系，确保供应商提供的产品或服务满足公司要求。</w:t>
      </w:r>
    </w:p>
    <w:p w14:paraId="4A08EA40">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3.1.3生产过程诚信管理</w:t>
      </w:r>
    </w:p>
    <w:p w14:paraId="530F75A3">
      <w:pPr>
        <w:widowControl/>
        <w:spacing w:line="360" w:lineRule="auto"/>
        <w:ind w:firstLine="480"/>
        <w:rPr>
          <w:rFonts w:hint="eastAsia"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w:t>
      </w:r>
      <w:r>
        <w:rPr>
          <w:rFonts w:hint="eastAsia" w:asciiTheme="minorEastAsia" w:hAnsiTheme="minorEastAsia"/>
          <w:sz w:val="24"/>
          <w:szCs w:val="24"/>
          <w:lang w:eastAsia="zh-CN"/>
        </w:rPr>
        <w:t>生产和服务提供控制程序</w:t>
      </w:r>
      <w:r>
        <w:rPr>
          <w:rFonts w:asciiTheme="minorEastAsia" w:hAnsiTheme="minorEastAsia"/>
          <w:sz w:val="24"/>
          <w:szCs w:val="24"/>
          <w:lang w:eastAsia="zh-CN"/>
        </w:rPr>
        <w:t>》、《不合格控制程序》</w:t>
      </w:r>
      <w:r>
        <w:rPr>
          <w:rFonts w:hint="eastAsia" w:asciiTheme="minorEastAsia" w:hAnsiTheme="minorEastAsia"/>
          <w:sz w:val="24"/>
          <w:szCs w:val="24"/>
          <w:lang w:eastAsia="zh-CN"/>
        </w:rPr>
        <w:t>及《纠正和预防措施控制程序》</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14:paraId="1320C6A2">
      <w:pPr>
        <w:spacing w:before="120" w:beforeLines="50" w:after="120" w:afterLines="50" w:line="360" w:lineRule="auto"/>
        <w:ind w:firstLine="482" w:firstLineChars="201"/>
        <w:rPr>
          <w:rFonts w:hint="eastAsia"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w:t>
      </w:r>
      <w:r>
        <w:rPr>
          <w:rFonts w:hint="eastAsia" w:asciiTheme="minorEastAsia" w:hAnsiTheme="minorEastAsia"/>
          <w:sz w:val="24"/>
          <w:szCs w:val="24"/>
          <w:lang w:eastAsia="zh-CN"/>
        </w:rPr>
        <w:t>生产和服务提供控制程序</w:t>
      </w:r>
      <w:r>
        <w:rPr>
          <w:rFonts w:asciiTheme="minorEastAsia" w:hAnsiTheme="minorEastAsia"/>
          <w:sz w:val="24"/>
          <w:szCs w:val="24"/>
          <w:lang w:eastAsia="zh-CN"/>
        </w:rPr>
        <w:t>》、《</w:t>
      </w:r>
      <w:r>
        <w:rPr>
          <w:rFonts w:hint="eastAsia" w:asciiTheme="minorEastAsia" w:hAnsiTheme="minorEastAsia"/>
          <w:sz w:val="24"/>
          <w:szCs w:val="24"/>
          <w:lang w:eastAsia="zh-CN"/>
        </w:rPr>
        <w:t>产品设计控制程序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14:paraId="6B70F536">
      <w:pPr>
        <w:spacing w:before="120" w:beforeLines="50" w:after="120" w:afterLines="50" w:line="360" w:lineRule="auto"/>
        <w:ind w:firstLine="482" w:firstLineChars="201"/>
        <w:rPr>
          <w:rFonts w:hint="eastAsia"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14:paraId="677C19F1">
      <w:pPr>
        <w:spacing w:line="360" w:lineRule="auto"/>
        <w:ind w:firstLine="482" w:firstLineChars="201"/>
        <w:rPr>
          <w:rFonts w:hint="eastAsia"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原材料检验、样品检验、中间体抽样及成品检验三步骤，切实保证终端产品质量。车间管理人员或者品管人员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w:t>
      </w:r>
      <w:r>
        <w:rPr>
          <w:rFonts w:hint="eastAsia" w:asciiTheme="minorEastAsia" w:hAnsiTheme="minorEastAsia"/>
          <w:sz w:val="24"/>
          <w:szCs w:val="24"/>
          <w:lang w:eastAsia="zh-CN"/>
        </w:rPr>
        <w:t>半成品</w:t>
      </w:r>
      <w:r>
        <w:rPr>
          <w:rFonts w:asciiTheme="minorEastAsia" w:hAnsiTheme="minorEastAsia"/>
          <w:sz w:val="24"/>
          <w:szCs w:val="24"/>
          <w:lang w:eastAsia="zh-CN"/>
        </w:rPr>
        <w:t>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14:paraId="1EFC202C">
      <w:pPr>
        <w:spacing w:before="120" w:beforeLines="50" w:after="120" w:afterLines="50" w:line="360" w:lineRule="auto"/>
        <w:ind w:firstLine="482" w:firstLineChars="201"/>
        <w:rPr>
          <w:rFonts w:hint="eastAsia"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14:paraId="496B07DC">
      <w:pPr>
        <w:spacing w:before="120" w:beforeLines="50" w:after="120" w:afterLines="50" w:line="360" w:lineRule="auto"/>
        <w:ind w:firstLine="482" w:firstLineChars="201"/>
        <w:rPr>
          <w:rFonts w:hint="eastAsia"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各类设备操作规程。与此同时，公司每年、每月会举行安全活动，旨在提高员工的安全意识，减少因员工的不当操作给员工和公司带来的不必要的损失。</w:t>
      </w:r>
    </w:p>
    <w:p w14:paraId="2A194E87">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14:paraId="27E64F16">
      <w:pPr>
        <w:pStyle w:val="7"/>
        <w:spacing w:before="120" w:line="360" w:lineRule="auto"/>
        <w:ind w:firstLine="480" w:firstLineChars="200"/>
        <w:rPr>
          <w:rFonts w:hint="eastAsia" w:asciiTheme="minorEastAsia" w:hAnsiTheme="minorEastAsia"/>
          <w:sz w:val="24"/>
          <w:szCs w:val="24"/>
          <w:lang w:eastAsia="zh-CN"/>
        </w:rPr>
      </w:pPr>
      <w:bookmarkStart w:id="17" w:name="_Toc11813"/>
      <w:r>
        <w:rPr>
          <w:rFonts w:hint="eastAsia" w:asciiTheme="minorEastAsia" w:hAnsiTheme="minorEastAsia"/>
          <w:sz w:val="24"/>
          <w:szCs w:val="24"/>
          <w:lang w:eastAsia="zh-CN"/>
        </w:rPr>
        <w:t>产品交付后，市场部商务部门人员应对顾客使用情况进行持续跟踪。顾客有反馈时，市场部商务部门人员应及时、准确、完整地掌握顾客反馈信息，并做好充分的沟通工作；顾客的反馈可以通过电话、邮件等方式向本部门负责人反映，必要时向事业部领导汇报。</w:t>
      </w:r>
    </w:p>
    <w:p w14:paraId="4974C1C1">
      <w:pPr>
        <w:pStyle w:val="7"/>
        <w:spacing w:before="120"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根据用户需求，利用电话、微信和邮件等途径及时给予用户技术咨询和技术支持，用户对质量有异议时，生产企业应在24 h内做出响应，并及时给用户提供服务和解决方案。</w:t>
      </w:r>
    </w:p>
    <w:p w14:paraId="1F39DCE3">
      <w:pPr>
        <w:pStyle w:val="4"/>
        <w:ind w:firstLine="480"/>
        <w:rPr>
          <w:lang w:eastAsia="zh-CN"/>
        </w:rPr>
      </w:pPr>
      <w:r>
        <w:rPr>
          <w:rFonts w:hint="eastAsia"/>
          <w:lang w:eastAsia="zh-CN"/>
        </w:rPr>
        <w:t>3.2 质量文化建设</w:t>
      </w:r>
      <w:bookmarkEnd w:id="17"/>
    </w:p>
    <w:p w14:paraId="09DBA6CB">
      <w:pPr>
        <w:pStyle w:val="7"/>
        <w:numPr>
          <w:ilvl w:val="2"/>
          <w:numId w:val="3"/>
        </w:numPr>
        <w:tabs>
          <w:tab w:val="left" w:pos="872"/>
        </w:tabs>
        <w:spacing w:line="360" w:lineRule="auto"/>
        <w:ind w:left="872"/>
        <w:rPr>
          <w:rFonts w:hint="eastAsia"/>
        </w:rPr>
      </w:pPr>
      <w:r>
        <w:rPr>
          <w:rFonts w:hint="eastAsia"/>
        </w:rPr>
        <w:t>诚</w:t>
      </w:r>
      <w:r>
        <w:rPr>
          <w:rFonts w:hint="eastAsia"/>
          <w:spacing w:val="2"/>
        </w:rPr>
        <w:t>信</w:t>
      </w:r>
      <w:r>
        <w:rPr>
          <w:rFonts w:hint="eastAsia"/>
        </w:rPr>
        <w:t>教育</w:t>
      </w:r>
    </w:p>
    <w:p w14:paraId="4A9A614F">
      <w:pPr>
        <w:pStyle w:val="45"/>
        <w:spacing w:line="360" w:lineRule="auto"/>
        <w:ind w:firstLine="720" w:firstLineChars="300"/>
        <w:rPr>
          <w:rFonts w:hint="eastAsia" w:ascii="宋体" w:hAnsi="宋体"/>
          <w:sz w:val="24"/>
          <w:szCs w:val="24"/>
          <w:lang w:eastAsia="zh-CN"/>
        </w:rPr>
      </w:pPr>
      <w:r>
        <w:rPr>
          <w:rFonts w:hint="eastAsia" w:ascii="宋体" w:hAnsi="宋体"/>
          <w:sz w:val="24"/>
          <w:szCs w:val="24"/>
          <w:lang w:eastAsia="zh-CN"/>
        </w:rPr>
        <w:t>为加快员工能力素质提升，满足公司快速发展要求，打造“学习型企业”，公司出台《关于员工能力提升激励办法》。办法内容涵盖学历提升、专业资格取证、职称提升等项目。</w:t>
      </w:r>
      <w:r>
        <w:rPr>
          <w:rFonts w:ascii="宋体" w:hAnsi="宋体"/>
          <w:sz w:val="24"/>
          <w:szCs w:val="24"/>
          <w:lang w:eastAsia="zh-CN"/>
        </w:rPr>
        <w:t>全公司近1/3</w:t>
      </w:r>
      <w:r>
        <w:rPr>
          <w:rFonts w:hint="eastAsia" w:ascii="宋体" w:hAnsi="宋体"/>
          <w:sz w:val="24"/>
          <w:szCs w:val="24"/>
          <w:lang w:eastAsia="zh-CN"/>
        </w:rPr>
        <w:t>的员工在进行学历提升、专业资格考试等，公司内部学习氛围浓厚，学习型组织持续构建中。</w:t>
      </w:r>
    </w:p>
    <w:p w14:paraId="1F93E9F2">
      <w:pPr>
        <w:widowControl/>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随着连续几年的员工技能评估，对员工技能要求不断提高，培训活动持续精细化，评估体系逐渐深入，工作难度、创新压力越来越大。从原来的综合性技能评估，逐步转变为专业性技能评估；从原来简单的题型、题量，逐步扩展到对员工知识点掌握的立体式考核；从原先的的行为安全为主，逐步深入到以工艺安全、变更管理M</w:t>
      </w:r>
      <w:r>
        <w:rPr>
          <w:rFonts w:ascii="宋体" w:hAnsi="宋体"/>
          <w:sz w:val="24"/>
          <w:szCs w:val="24"/>
          <w:lang w:eastAsia="zh-CN"/>
        </w:rPr>
        <w:t>OC</w:t>
      </w:r>
      <w:r>
        <w:rPr>
          <w:rFonts w:hint="eastAsia" w:ascii="宋体" w:hAnsi="宋体"/>
          <w:sz w:val="24"/>
          <w:szCs w:val="24"/>
          <w:lang w:eastAsia="zh-CN"/>
        </w:rPr>
        <w:t>本质安全转变。</w:t>
      </w:r>
    </w:p>
    <w:p w14:paraId="08829F04">
      <w:pPr>
        <w:widowControl/>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随着两化融合工作的稳步、持续性推进，组织结构优化和岗位合并、员工精简与置换，公司工作将继续以员工素质提升的核心点，重点开展各项员工能力提升、培训等工作，为企业战略执行与推行提供高素质员工队伍。</w:t>
      </w:r>
      <w:r>
        <w:rPr>
          <w:rFonts w:hint="eastAsia" w:asciiTheme="minorEastAsia" w:hAnsiTheme="minorEastAsia"/>
          <w:sz w:val="24"/>
          <w:szCs w:val="24"/>
          <w:lang w:eastAsia="zh-CN"/>
        </w:rPr>
        <w:t>见</w:t>
      </w:r>
      <w:r>
        <w:rPr>
          <w:rFonts w:asciiTheme="minorEastAsia" w:hAnsiTheme="minorEastAsia"/>
          <w:sz w:val="24"/>
          <w:szCs w:val="24"/>
          <w:lang w:eastAsia="zh-CN"/>
        </w:rPr>
        <w:t>图</w:t>
      </w:r>
      <w:r>
        <w:rPr>
          <w:rFonts w:hint="eastAsia" w:asciiTheme="minorEastAsia" w:hAnsiTheme="minorEastAsia"/>
          <w:sz w:val="24"/>
          <w:szCs w:val="24"/>
          <w:lang w:eastAsia="zh-CN"/>
        </w:rPr>
        <w:t xml:space="preserve">3.2-1 所示。  </w:t>
      </w:r>
    </w:p>
    <w:p w14:paraId="161B157A">
      <w:pPr>
        <w:spacing w:line="360" w:lineRule="auto"/>
        <w:jc w:val="center"/>
        <w:rPr>
          <w:rFonts w:hint="eastAsia" w:ascii="宋体" w:hAnsi="宋体"/>
          <w:sz w:val="24"/>
          <w:szCs w:val="24"/>
          <w:lang w:eastAsia="zh-CN"/>
        </w:rPr>
      </w:pPr>
      <w:r>
        <w:rPr>
          <w:rFonts w:hint="eastAsia" w:ascii="宋体" w:hAnsi="宋体"/>
          <w:sz w:val="24"/>
          <w:szCs w:val="24"/>
          <w:lang w:eastAsia="zh-CN"/>
        </w:rPr>
        <w:drawing>
          <wp:inline distT="0" distB="0" distL="114300" distR="114300">
            <wp:extent cx="6032500" cy="2684145"/>
            <wp:effectExtent l="0" t="0" r="2540" b="13335"/>
            <wp:docPr id="4" name="图片 4" descr="175281582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2815826347"/>
                    <pic:cNvPicPr>
                      <a:picLocks noChangeAspect="1"/>
                    </pic:cNvPicPr>
                  </pic:nvPicPr>
                  <pic:blipFill>
                    <a:blip r:embed="rId12"/>
                    <a:stretch>
                      <a:fillRect/>
                    </a:stretch>
                  </pic:blipFill>
                  <pic:spPr>
                    <a:xfrm>
                      <a:off x="0" y="0"/>
                      <a:ext cx="6032500" cy="2684145"/>
                    </a:xfrm>
                    <a:prstGeom prst="rect">
                      <a:avLst/>
                    </a:prstGeom>
                  </pic:spPr>
                </pic:pic>
              </a:graphicData>
            </a:graphic>
          </wp:inline>
        </w:drawing>
      </w:r>
    </w:p>
    <w:p w14:paraId="2813A590">
      <w:pPr>
        <w:spacing w:line="360" w:lineRule="auto"/>
        <w:ind w:firstLine="482" w:firstLineChars="200"/>
        <w:jc w:val="center"/>
        <w:rPr>
          <w:rFonts w:hint="eastAsia" w:ascii="宋体" w:hAnsi="宋体"/>
          <w:b/>
          <w:sz w:val="24"/>
          <w:szCs w:val="24"/>
          <w:lang w:eastAsia="zh-CN"/>
        </w:rPr>
      </w:pPr>
      <w:bookmarkStart w:id="18" w:name="_Ref363400150"/>
      <w:r>
        <w:rPr>
          <w:rFonts w:hint="eastAsia" w:ascii="宋体" w:hAnsi="宋体"/>
          <w:b/>
          <w:sz w:val="24"/>
          <w:szCs w:val="24"/>
          <w:lang w:eastAsia="zh-CN"/>
        </w:rPr>
        <w:t>图3.2-1</w:t>
      </w:r>
      <w:bookmarkEnd w:id="18"/>
      <w:r>
        <w:rPr>
          <w:rFonts w:hint="eastAsia"/>
          <w:b/>
          <w:lang w:eastAsia="zh-CN"/>
        </w:rPr>
        <w:t>各类培训活动</w:t>
      </w:r>
    </w:p>
    <w:p w14:paraId="14C360A7">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14:paraId="265FAA41">
      <w:pPr>
        <w:widowControl/>
        <w:spacing w:line="360" w:lineRule="auto"/>
        <w:ind w:firstLine="48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14:paraId="3F13534F">
      <w:pPr>
        <w:pStyle w:val="7"/>
        <w:numPr>
          <w:ilvl w:val="2"/>
          <w:numId w:val="3"/>
        </w:numPr>
        <w:tabs>
          <w:tab w:val="left" w:pos="1134"/>
        </w:tabs>
        <w:spacing w:before="41" w:line="360" w:lineRule="auto"/>
        <w:ind w:left="872" w:hanging="446"/>
        <w:rPr>
          <w:rFonts w:hint="eastAsia"/>
          <w:sz w:val="24"/>
          <w:szCs w:val="24"/>
        </w:rPr>
      </w:pPr>
      <w:r>
        <w:rPr>
          <w:rFonts w:hint="eastAsia"/>
          <w:sz w:val="24"/>
          <w:szCs w:val="24"/>
        </w:rPr>
        <w:t>诚</w:t>
      </w:r>
      <w:r>
        <w:rPr>
          <w:rFonts w:hint="eastAsia"/>
          <w:spacing w:val="2"/>
          <w:sz w:val="24"/>
          <w:szCs w:val="24"/>
        </w:rPr>
        <w:t>信</w:t>
      </w:r>
      <w:r>
        <w:rPr>
          <w:rFonts w:hint="eastAsia"/>
          <w:sz w:val="24"/>
          <w:szCs w:val="24"/>
        </w:rPr>
        <w:t>自律</w:t>
      </w:r>
    </w:p>
    <w:p w14:paraId="636FD36A">
      <w:pPr>
        <w:pStyle w:val="7"/>
        <w:spacing w:line="360" w:lineRule="auto"/>
        <w:ind w:left="0" w:firstLine="266" w:firstLineChars="111"/>
        <w:rPr>
          <w:rFonts w:hint="eastAsia"/>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14:paraId="540E81EB">
      <w:pPr>
        <w:pStyle w:val="7"/>
        <w:numPr>
          <w:ilvl w:val="2"/>
          <w:numId w:val="3"/>
        </w:numPr>
        <w:tabs>
          <w:tab w:val="left" w:pos="993"/>
        </w:tabs>
        <w:spacing w:before="41" w:line="360" w:lineRule="auto"/>
        <w:ind w:left="872" w:hanging="446"/>
        <w:rPr>
          <w:rFonts w:hint="eastAsia"/>
          <w:spacing w:val="2"/>
          <w:sz w:val="24"/>
          <w:szCs w:val="24"/>
          <w:lang w:eastAsia="zh-CN"/>
        </w:rPr>
      </w:pPr>
      <w:r>
        <w:rPr>
          <w:sz w:val="24"/>
          <w:szCs w:val="24"/>
          <w:lang w:eastAsia="zh-CN"/>
        </w:rPr>
        <w:t xml:space="preserve"> </w:t>
      </w:r>
      <w:r>
        <w:rPr>
          <w:rFonts w:hint="eastAsia"/>
          <w:sz w:val="24"/>
          <w:szCs w:val="24"/>
        </w:rPr>
        <w:t>企业文化</w:t>
      </w:r>
    </w:p>
    <w:p w14:paraId="4B9AEA3D">
      <w:pPr>
        <w:autoSpaceDE w:val="0"/>
        <w:autoSpaceDN w:val="0"/>
        <w:spacing w:line="360" w:lineRule="auto"/>
        <w:ind w:firstLine="488" w:firstLineChars="200"/>
        <w:rPr>
          <w:rFonts w:hint="eastAsia"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w:t>
      </w:r>
      <w:r>
        <w:rPr>
          <w:rFonts w:hint="eastAsia"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hint="eastAsia" w:ascii="宋体" w:hAnsi="宋体"/>
          <w:spacing w:val="2"/>
          <w:sz w:val="24"/>
          <w:szCs w:val="24"/>
          <w:lang w:eastAsia="zh-CN"/>
        </w:rPr>
        <w:t>并围绕“</w:t>
      </w:r>
      <w:r>
        <w:rPr>
          <w:rFonts w:hint="eastAsia" w:ascii="宋体"/>
          <w:b/>
          <w:kern w:val="2"/>
          <w:sz w:val="24"/>
          <w:szCs w:val="24"/>
          <w:lang w:eastAsia="zh-CN"/>
        </w:rPr>
        <w:t>开拓创新、开辟未来</w:t>
      </w:r>
      <w:r>
        <w:rPr>
          <w:rFonts w:hint="eastAsia" w:ascii="宋体" w:hAnsi="宋体"/>
          <w:spacing w:val="2"/>
          <w:sz w:val="24"/>
          <w:szCs w:val="24"/>
          <w:lang w:eastAsia="zh-CN"/>
        </w:rPr>
        <w:t>”的核心价值观，建设富有特色，开放创新，公平正直的企业文化。</w:t>
      </w:r>
    </w:p>
    <w:p w14:paraId="11190626">
      <w:pPr>
        <w:pStyle w:val="41"/>
        <w:spacing w:before="120" w:line="360" w:lineRule="auto"/>
        <w:rPr>
          <w:rFonts w:hint="eastAsia"/>
        </w:rPr>
      </w:pPr>
      <w:bookmarkStart w:id="19" w:name="_Ref363217834"/>
      <w:r>
        <w:t>表</w:t>
      </w:r>
      <w:r>
        <w:rPr>
          <w:rFonts w:hint="eastAsia"/>
        </w:rPr>
        <w:t>3.2.3</w:t>
      </w:r>
      <w:r>
        <w:t>-</w:t>
      </w:r>
      <w:r>
        <w:fldChar w:fldCharType="begin"/>
      </w:r>
      <w:r>
        <w:instrText xml:space="preserve"> SEQ 表4.1- \* ARABIC </w:instrText>
      </w:r>
      <w:r>
        <w:fldChar w:fldCharType="separate"/>
      </w:r>
      <w:r>
        <w:rPr>
          <w:rFonts w:hint="eastAsia"/>
        </w:rPr>
        <w:t>1</w:t>
      </w:r>
      <w:r>
        <w:rPr>
          <w:rFonts w:hint="eastAsia"/>
        </w:rPr>
        <w:fldChar w:fldCharType="end"/>
      </w:r>
      <w:bookmarkEnd w:id="19"/>
      <w:r>
        <w:rPr>
          <w:rFonts w:hint="eastAsia"/>
        </w:rPr>
        <w:t xml:space="preserve"> 企业文化的传播方式</w:t>
      </w:r>
    </w:p>
    <w:tbl>
      <w:tblPr>
        <w:tblStyle w:val="16"/>
        <w:tblpPr w:leftFromText="180" w:rightFromText="180" w:vertAnchor="text" w:tblpXSpec="center" w:tblpY="1"/>
        <w:tblOverlap w:val="never"/>
        <w:tblW w:w="905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3174"/>
        <w:gridCol w:w="1080"/>
        <w:gridCol w:w="1310"/>
        <w:gridCol w:w="2250"/>
      </w:tblGrid>
      <w:tr w14:paraId="13E99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shd w:val="clear" w:color="auto" w:fill="000080"/>
            <w:vAlign w:val="center"/>
          </w:tcPr>
          <w:p w14:paraId="080D8712">
            <w:pPr>
              <w:widowControl/>
              <w:jc w:val="center"/>
              <w:rPr>
                <w:rFonts w:hint="eastAsia" w:ascii="宋体" w:hAnsi="宋体" w:cs="宋体"/>
                <w:b/>
                <w:bCs/>
                <w:szCs w:val="21"/>
              </w:rPr>
            </w:pPr>
            <w:r>
              <w:rPr>
                <w:rFonts w:hint="eastAsia" w:ascii="宋体" w:hAnsi="宋体" w:cs="宋体"/>
                <w:b/>
                <w:bCs/>
                <w:szCs w:val="21"/>
              </w:rPr>
              <w:t>沟通对象</w:t>
            </w:r>
          </w:p>
        </w:tc>
        <w:tc>
          <w:tcPr>
            <w:tcW w:w="3174" w:type="dxa"/>
            <w:shd w:val="clear" w:color="auto" w:fill="000080"/>
            <w:vAlign w:val="center"/>
          </w:tcPr>
          <w:p w14:paraId="0A0377E9">
            <w:pPr>
              <w:widowControl/>
              <w:jc w:val="center"/>
              <w:rPr>
                <w:rFonts w:hint="eastAsia" w:ascii="宋体" w:hAnsi="宋体" w:cs="宋体"/>
                <w:b/>
                <w:bCs/>
                <w:szCs w:val="21"/>
              </w:rPr>
            </w:pPr>
            <w:r>
              <w:rPr>
                <w:rFonts w:hint="eastAsia" w:ascii="宋体" w:hAnsi="宋体" w:cs="宋体"/>
                <w:b/>
                <w:bCs/>
                <w:szCs w:val="21"/>
              </w:rPr>
              <w:t>沟通方式</w:t>
            </w:r>
          </w:p>
        </w:tc>
        <w:tc>
          <w:tcPr>
            <w:tcW w:w="1080" w:type="dxa"/>
            <w:shd w:val="clear" w:color="auto" w:fill="000080"/>
            <w:vAlign w:val="center"/>
          </w:tcPr>
          <w:p w14:paraId="421BEC3A">
            <w:pPr>
              <w:widowControl/>
              <w:jc w:val="center"/>
              <w:rPr>
                <w:rFonts w:hint="eastAsia" w:ascii="宋体" w:hAnsi="宋体" w:cs="宋体"/>
                <w:b/>
                <w:bCs/>
                <w:szCs w:val="21"/>
              </w:rPr>
            </w:pPr>
            <w:r>
              <w:rPr>
                <w:rFonts w:hint="eastAsia" w:ascii="宋体" w:hAnsi="宋体" w:cs="宋体"/>
                <w:b/>
                <w:bCs/>
                <w:szCs w:val="21"/>
              </w:rPr>
              <w:t>沟通频次</w:t>
            </w:r>
          </w:p>
        </w:tc>
        <w:tc>
          <w:tcPr>
            <w:tcW w:w="1310" w:type="dxa"/>
            <w:shd w:val="clear" w:color="auto" w:fill="000080"/>
            <w:vAlign w:val="center"/>
          </w:tcPr>
          <w:p w14:paraId="44424AF5">
            <w:pPr>
              <w:widowControl/>
              <w:jc w:val="center"/>
              <w:rPr>
                <w:rFonts w:hint="eastAsia" w:ascii="宋体" w:hAnsi="宋体" w:cs="宋体"/>
                <w:b/>
                <w:bCs/>
                <w:szCs w:val="21"/>
              </w:rPr>
            </w:pPr>
            <w:r>
              <w:rPr>
                <w:rFonts w:hint="eastAsia" w:ascii="宋体" w:hAnsi="宋体" w:cs="宋体"/>
                <w:b/>
                <w:bCs/>
                <w:szCs w:val="21"/>
              </w:rPr>
              <w:t>沟通方向</w:t>
            </w:r>
          </w:p>
        </w:tc>
        <w:tc>
          <w:tcPr>
            <w:tcW w:w="2250" w:type="dxa"/>
            <w:shd w:val="clear" w:color="auto" w:fill="000080"/>
            <w:vAlign w:val="center"/>
          </w:tcPr>
          <w:p w14:paraId="3E426355">
            <w:pPr>
              <w:widowControl/>
              <w:jc w:val="center"/>
              <w:rPr>
                <w:rFonts w:hint="eastAsia" w:ascii="宋体" w:hAnsi="宋体" w:cs="宋体"/>
                <w:b/>
                <w:bCs/>
                <w:szCs w:val="21"/>
              </w:rPr>
            </w:pPr>
            <w:r>
              <w:rPr>
                <w:rFonts w:hint="eastAsia" w:ascii="宋体" w:hAnsi="宋体" w:cs="宋体"/>
                <w:b/>
                <w:bCs/>
                <w:szCs w:val="21"/>
              </w:rPr>
              <w:t>沟通内容</w:t>
            </w:r>
          </w:p>
        </w:tc>
      </w:tr>
      <w:tr w14:paraId="07986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vAlign w:val="center"/>
          </w:tcPr>
          <w:p w14:paraId="0302911B">
            <w:pPr>
              <w:widowControl/>
              <w:jc w:val="center"/>
              <w:rPr>
                <w:rFonts w:hint="eastAsia" w:ascii="宋体" w:hAnsi="宋体" w:cs="宋体"/>
                <w:b/>
                <w:bCs/>
                <w:szCs w:val="21"/>
              </w:rPr>
            </w:pPr>
            <w:r>
              <w:rPr>
                <w:rFonts w:hint="eastAsia" w:ascii="宋体" w:hAnsi="宋体" w:cs="宋体"/>
                <w:b/>
                <w:bCs/>
                <w:szCs w:val="21"/>
              </w:rPr>
              <w:t>内部员工</w:t>
            </w:r>
          </w:p>
        </w:tc>
        <w:tc>
          <w:tcPr>
            <w:tcW w:w="3174" w:type="dxa"/>
            <w:vAlign w:val="center"/>
          </w:tcPr>
          <w:p w14:paraId="14855FD9">
            <w:pPr>
              <w:widowControl/>
              <w:jc w:val="center"/>
              <w:rPr>
                <w:rFonts w:hint="eastAsia" w:ascii="宋体" w:hAnsi="宋体" w:cs="宋体"/>
                <w:szCs w:val="21"/>
              </w:rPr>
            </w:pPr>
            <w:r>
              <w:rPr>
                <w:rFonts w:hint="eastAsia" w:ascii="宋体" w:hAnsi="宋体" w:cs="宋体"/>
                <w:szCs w:val="21"/>
              </w:rPr>
              <w:t>员工手册</w:t>
            </w:r>
          </w:p>
        </w:tc>
        <w:tc>
          <w:tcPr>
            <w:tcW w:w="1080" w:type="dxa"/>
            <w:vAlign w:val="center"/>
          </w:tcPr>
          <w:p w14:paraId="5BBAD3A9">
            <w:pPr>
              <w:widowControl/>
              <w:jc w:val="center"/>
              <w:rPr>
                <w:rFonts w:hint="eastAsia" w:ascii="宋体" w:hAnsi="宋体" w:cs="宋体"/>
                <w:szCs w:val="21"/>
              </w:rPr>
            </w:pPr>
            <w:r>
              <w:rPr>
                <w:rFonts w:hint="eastAsia" w:ascii="宋体" w:hAnsi="宋体" w:cs="宋体"/>
                <w:szCs w:val="21"/>
              </w:rPr>
              <w:t>长期</w:t>
            </w:r>
          </w:p>
        </w:tc>
        <w:tc>
          <w:tcPr>
            <w:tcW w:w="1310" w:type="dxa"/>
            <w:vAlign w:val="center"/>
          </w:tcPr>
          <w:p w14:paraId="2956E458">
            <w:pPr>
              <w:widowControl/>
              <w:jc w:val="center"/>
              <w:rPr>
                <w:rFonts w:hint="eastAsia" w:ascii="宋体" w:hAnsi="宋体" w:cs="宋体"/>
                <w:szCs w:val="21"/>
              </w:rPr>
            </w:pPr>
            <w:r>
              <w:rPr>
                <w:rFonts w:hint="eastAsia" w:ascii="宋体" w:hAnsi="宋体" w:cs="宋体"/>
                <w:szCs w:val="21"/>
              </w:rPr>
              <w:t>双向</w:t>
            </w:r>
          </w:p>
        </w:tc>
        <w:tc>
          <w:tcPr>
            <w:tcW w:w="2250" w:type="dxa"/>
            <w:vMerge w:val="restart"/>
            <w:vAlign w:val="center"/>
          </w:tcPr>
          <w:p w14:paraId="0582D7AB">
            <w:pPr>
              <w:widowControl/>
              <w:rPr>
                <w:rFonts w:hint="eastAsia" w:ascii="宋体" w:hAnsi="宋体" w:cs="宋体"/>
                <w:szCs w:val="21"/>
                <w:lang w:eastAsia="zh-CN"/>
              </w:rPr>
            </w:pPr>
            <w:r>
              <w:rPr>
                <w:rFonts w:hint="eastAsia" w:ascii="宋体" w:hAnsi="宋体" w:cs="宋体"/>
                <w:szCs w:val="21"/>
                <w:lang w:eastAsia="zh-CN"/>
              </w:rPr>
              <w:t>企业文化、企业目标、员工对企业的建议，包括：企业的核心价值观、精神、愿景、战略目标、发展方向、绩效期望、公司动态、经营情况；听取、收集员工的心声和合理化建议</w:t>
            </w:r>
          </w:p>
        </w:tc>
      </w:tr>
      <w:tr w14:paraId="3A327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7D399C5D">
            <w:pPr>
              <w:widowControl/>
              <w:rPr>
                <w:rFonts w:hint="eastAsia" w:ascii="宋体" w:hAnsi="宋体" w:cs="宋体"/>
                <w:b/>
                <w:bCs/>
                <w:szCs w:val="21"/>
                <w:lang w:eastAsia="zh-CN"/>
              </w:rPr>
            </w:pPr>
          </w:p>
        </w:tc>
        <w:tc>
          <w:tcPr>
            <w:tcW w:w="3174" w:type="dxa"/>
            <w:vAlign w:val="center"/>
          </w:tcPr>
          <w:p w14:paraId="26309805">
            <w:pPr>
              <w:widowControl/>
              <w:jc w:val="center"/>
              <w:rPr>
                <w:rFonts w:hint="eastAsia" w:ascii="宋体" w:hAnsi="宋体" w:cs="宋体"/>
                <w:szCs w:val="21"/>
                <w:lang w:eastAsia="zh-CN"/>
              </w:rPr>
            </w:pPr>
            <w:r>
              <w:rPr>
                <w:rFonts w:hint="eastAsia" w:ascii="宋体" w:hAnsi="宋体" w:cs="宋体"/>
                <w:szCs w:val="21"/>
                <w:lang w:eastAsia="zh-CN"/>
              </w:rPr>
              <w:t>管理制度、质量管理体系、环境管理体系、职业健康安全体系</w:t>
            </w:r>
          </w:p>
        </w:tc>
        <w:tc>
          <w:tcPr>
            <w:tcW w:w="1080" w:type="dxa"/>
            <w:vAlign w:val="center"/>
          </w:tcPr>
          <w:p w14:paraId="3144B196">
            <w:pPr>
              <w:widowControl/>
              <w:jc w:val="center"/>
              <w:rPr>
                <w:rFonts w:hint="eastAsia" w:ascii="宋体" w:hAnsi="宋体" w:cs="宋体"/>
                <w:szCs w:val="21"/>
              </w:rPr>
            </w:pPr>
            <w:r>
              <w:rPr>
                <w:rFonts w:hint="eastAsia" w:ascii="宋体" w:hAnsi="宋体" w:cs="宋体"/>
                <w:szCs w:val="21"/>
              </w:rPr>
              <w:t>每年</w:t>
            </w:r>
          </w:p>
        </w:tc>
        <w:tc>
          <w:tcPr>
            <w:tcW w:w="1310" w:type="dxa"/>
            <w:vAlign w:val="center"/>
          </w:tcPr>
          <w:p w14:paraId="335DA30E">
            <w:pPr>
              <w:widowControl/>
              <w:jc w:val="center"/>
              <w:rPr>
                <w:rFonts w:hint="eastAsia" w:ascii="宋体" w:hAnsi="宋体" w:cs="宋体"/>
                <w:szCs w:val="21"/>
              </w:rPr>
            </w:pPr>
            <w:r>
              <w:rPr>
                <w:rFonts w:hint="eastAsia" w:ascii="宋体" w:hAnsi="宋体" w:cs="宋体"/>
                <w:szCs w:val="21"/>
              </w:rPr>
              <w:t>向下及互动</w:t>
            </w:r>
          </w:p>
        </w:tc>
        <w:tc>
          <w:tcPr>
            <w:tcW w:w="2250" w:type="dxa"/>
            <w:vMerge w:val="continue"/>
            <w:vAlign w:val="center"/>
          </w:tcPr>
          <w:p w14:paraId="2A452894">
            <w:pPr>
              <w:widowControl/>
              <w:rPr>
                <w:rFonts w:hint="eastAsia" w:ascii="宋体" w:hAnsi="宋体" w:cs="宋体"/>
                <w:szCs w:val="21"/>
              </w:rPr>
            </w:pPr>
          </w:p>
        </w:tc>
      </w:tr>
      <w:tr w14:paraId="4DF29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3DF5FEED">
            <w:pPr>
              <w:widowControl/>
              <w:rPr>
                <w:rFonts w:hint="eastAsia" w:ascii="宋体" w:hAnsi="宋体" w:cs="宋体"/>
                <w:b/>
                <w:bCs/>
                <w:szCs w:val="21"/>
              </w:rPr>
            </w:pPr>
          </w:p>
        </w:tc>
        <w:tc>
          <w:tcPr>
            <w:tcW w:w="3174" w:type="dxa"/>
            <w:vAlign w:val="center"/>
          </w:tcPr>
          <w:p w14:paraId="21419195">
            <w:pPr>
              <w:widowControl/>
              <w:jc w:val="center"/>
              <w:rPr>
                <w:rFonts w:hint="eastAsia" w:ascii="宋体" w:hAnsi="宋体" w:cs="宋体"/>
                <w:szCs w:val="21"/>
              </w:rPr>
            </w:pPr>
            <w:r>
              <w:rPr>
                <w:rFonts w:hint="eastAsia" w:ascii="宋体" w:hAnsi="宋体" w:cs="宋体"/>
                <w:szCs w:val="21"/>
              </w:rPr>
              <w:t>公司内部微信群</w:t>
            </w:r>
          </w:p>
        </w:tc>
        <w:tc>
          <w:tcPr>
            <w:tcW w:w="1080" w:type="dxa"/>
            <w:vAlign w:val="center"/>
          </w:tcPr>
          <w:p w14:paraId="6B7ABF8B">
            <w:pPr>
              <w:widowControl/>
              <w:jc w:val="center"/>
              <w:rPr>
                <w:rFonts w:hint="eastAsia" w:ascii="宋体" w:hAnsi="宋体" w:cs="宋体"/>
                <w:szCs w:val="21"/>
              </w:rPr>
            </w:pPr>
            <w:r>
              <w:rPr>
                <w:rFonts w:hint="eastAsia" w:ascii="宋体" w:hAnsi="宋体" w:cs="宋体"/>
                <w:szCs w:val="21"/>
              </w:rPr>
              <w:t>随时</w:t>
            </w:r>
          </w:p>
        </w:tc>
        <w:tc>
          <w:tcPr>
            <w:tcW w:w="1310" w:type="dxa"/>
            <w:vAlign w:val="center"/>
          </w:tcPr>
          <w:p w14:paraId="5F131D19">
            <w:pPr>
              <w:widowControl/>
              <w:jc w:val="center"/>
              <w:rPr>
                <w:rFonts w:hint="eastAsia" w:ascii="宋体" w:hAnsi="宋体" w:cs="宋体"/>
                <w:szCs w:val="21"/>
              </w:rPr>
            </w:pPr>
            <w:r>
              <w:rPr>
                <w:rFonts w:hint="eastAsia" w:ascii="宋体" w:hAnsi="宋体" w:cs="宋体"/>
                <w:szCs w:val="21"/>
              </w:rPr>
              <w:t>双向互动</w:t>
            </w:r>
          </w:p>
        </w:tc>
        <w:tc>
          <w:tcPr>
            <w:tcW w:w="2250" w:type="dxa"/>
            <w:vMerge w:val="continue"/>
            <w:vAlign w:val="center"/>
          </w:tcPr>
          <w:p w14:paraId="7B502D9B">
            <w:pPr>
              <w:widowControl/>
              <w:rPr>
                <w:rFonts w:hint="eastAsia" w:ascii="宋体" w:hAnsi="宋体" w:cs="宋体"/>
                <w:szCs w:val="21"/>
              </w:rPr>
            </w:pPr>
          </w:p>
        </w:tc>
      </w:tr>
      <w:tr w14:paraId="48ED5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6EC6F243">
            <w:pPr>
              <w:widowControl/>
              <w:rPr>
                <w:rFonts w:hint="eastAsia" w:ascii="宋体" w:hAnsi="宋体" w:cs="宋体"/>
                <w:b/>
                <w:bCs/>
                <w:szCs w:val="21"/>
              </w:rPr>
            </w:pPr>
          </w:p>
        </w:tc>
        <w:tc>
          <w:tcPr>
            <w:tcW w:w="3174" w:type="dxa"/>
            <w:vAlign w:val="center"/>
          </w:tcPr>
          <w:p w14:paraId="6148E495">
            <w:pPr>
              <w:widowControl/>
              <w:jc w:val="center"/>
              <w:rPr>
                <w:rFonts w:hint="eastAsia" w:ascii="宋体" w:hAnsi="宋体" w:cs="宋体"/>
                <w:szCs w:val="21"/>
              </w:rPr>
            </w:pPr>
            <w:r>
              <w:rPr>
                <w:rFonts w:hint="eastAsia" w:ascii="宋体" w:hAnsi="宋体" w:cs="宋体"/>
                <w:szCs w:val="21"/>
              </w:rPr>
              <w:t>宣传橱窗、车间看板</w:t>
            </w:r>
          </w:p>
        </w:tc>
        <w:tc>
          <w:tcPr>
            <w:tcW w:w="1080" w:type="dxa"/>
            <w:vAlign w:val="center"/>
          </w:tcPr>
          <w:p w14:paraId="447605DD">
            <w:pPr>
              <w:widowControl/>
              <w:jc w:val="center"/>
              <w:rPr>
                <w:rFonts w:hint="eastAsia" w:ascii="宋体" w:hAnsi="宋体" w:cs="宋体"/>
                <w:szCs w:val="21"/>
              </w:rPr>
            </w:pPr>
            <w:r>
              <w:rPr>
                <w:rFonts w:hint="eastAsia" w:ascii="宋体" w:hAnsi="宋体" w:cs="宋体"/>
                <w:szCs w:val="21"/>
              </w:rPr>
              <w:t>每月</w:t>
            </w:r>
          </w:p>
        </w:tc>
        <w:tc>
          <w:tcPr>
            <w:tcW w:w="1310" w:type="dxa"/>
            <w:vAlign w:val="center"/>
          </w:tcPr>
          <w:p w14:paraId="7ECBD20A">
            <w:pPr>
              <w:widowControl/>
              <w:jc w:val="center"/>
              <w:rPr>
                <w:rFonts w:hint="eastAsia" w:ascii="宋体" w:hAnsi="宋体" w:cs="宋体"/>
                <w:szCs w:val="21"/>
              </w:rPr>
            </w:pPr>
            <w:r>
              <w:rPr>
                <w:rFonts w:hint="eastAsia" w:ascii="宋体" w:hAnsi="宋体" w:cs="宋体"/>
                <w:szCs w:val="21"/>
              </w:rPr>
              <w:t>双向互动</w:t>
            </w:r>
          </w:p>
        </w:tc>
        <w:tc>
          <w:tcPr>
            <w:tcW w:w="2250" w:type="dxa"/>
            <w:vMerge w:val="continue"/>
            <w:vAlign w:val="center"/>
          </w:tcPr>
          <w:p w14:paraId="6C45B2E8">
            <w:pPr>
              <w:widowControl/>
              <w:rPr>
                <w:rFonts w:hint="eastAsia" w:ascii="宋体" w:hAnsi="宋体" w:cs="宋体"/>
                <w:szCs w:val="21"/>
              </w:rPr>
            </w:pPr>
          </w:p>
        </w:tc>
      </w:tr>
      <w:tr w14:paraId="00B11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5325514D">
            <w:pPr>
              <w:widowControl/>
              <w:rPr>
                <w:rFonts w:hint="eastAsia" w:ascii="宋体" w:hAnsi="宋体" w:cs="宋体"/>
                <w:b/>
                <w:bCs/>
                <w:szCs w:val="21"/>
              </w:rPr>
            </w:pPr>
          </w:p>
        </w:tc>
        <w:tc>
          <w:tcPr>
            <w:tcW w:w="3174" w:type="dxa"/>
            <w:vAlign w:val="center"/>
          </w:tcPr>
          <w:p w14:paraId="59ACC87E">
            <w:pPr>
              <w:widowControl/>
              <w:jc w:val="center"/>
              <w:rPr>
                <w:rFonts w:hint="eastAsia" w:ascii="宋体" w:hAnsi="宋体" w:cs="宋体"/>
                <w:szCs w:val="21"/>
                <w:lang w:eastAsia="zh-CN"/>
              </w:rPr>
            </w:pPr>
            <w:r>
              <w:rPr>
                <w:rFonts w:hint="eastAsia" w:ascii="宋体" w:hAnsi="宋体" w:cs="宋体"/>
                <w:szCs w:val="21"/>
                <w:lang w:eastAsia="zh-CN"/>
              </w:rPr>
              <w:t>总结会、表彰会、项目启动会等</w:t>
            </w:r>
          </w:p>
        </w:tc>
        <w:tc>
          <w:tcPr>
            <w:tcW w:w="1080" w:type="dxa"/>
            <w:vAlign w:val="center"/>
          </w:tcPr>
          <w:p w14:paraId="54947B97">
            <w:pPr>
              <w:widowControl/>
              <w:jc w:val="center"/>
              <w:rPr>
                <w:rFonts w:hint="eastAsia" w:ascii="宋体" w:hAnsi="宋体" w:cs="宋体"/>
                <w:szCs w:val="21"/>
              </w:rPr>
            </w:pPr>
            <w:r>
              <w:rPr>
                <w:rFonts w:hint="eastAsia" w:ascii="宋体" w:hAnsi="宋体" w:cs="宋体"/>
                <w:szCs w:val="21"/>
              </w:rPr>
              <w:t>每年</w:t>
            </w:r>
          </w:p>
        </w:tc>
        <w:tc>
          <w:tcPr>
            <w:tcW w:w="1310" w:type="dxa"/>
            <w:vMerge w:val="restart"/>
            <w:vAlign w:val="center"/>
          </w:tcPr>
          <w:p w14:paraId="5F562652">
            <w:pPr>
              <w:widowControl/>
              <w:jc w:val="center"/>
              <w:rPr>
                <w:rFonts w:hint="eastAsia" w:ascii="宋体" w:hAnsi="宋体" w:cs="宋体"/>
                <w:szCs w:val="21"/>
              </w:rPr>
            </w:pPr>
            <w:r>
              <w:rPr>
                <w:rFonts w:hint="eastAsia" w:ascii="宋体" w:hAnsi="宋体" w:cs="宋体"/>
                <w:szCs w:val="21"/>
              </w:rPr>
              <w:t>互动及向下</w:t>
            </w:r>
          </w:p>
        </w:tc>
        <w:tc>
          <w:tcPr>
            <w:tcW w:w="2250" w:type="dxa"/>
            <w:vMerge w:val="continue"/>
            <w:vAlign w:val="center"/>
          </w:tcPr>
          <w:p w14:paraId="07090929">
            <w:pPr>
              <w:widowControl/>
              <w:rPr>
                <w:rFonts w:hint="eastAsia" w:ascii="宋体" w:hAnsi="宋体" w:cs="宋体"/>
                <w:szCs w:val="21"/>
              </w:rPr>
            </w:pPr>
          </w:p>
        </w:tc>
      </w:tr>
      <w:tr w14:paraId="4C5C1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24BB02F4">
            <w:pPr>
              <w:widowControl/>
              <w:rPr>
                <w:rFonts w:hint="eastAsia" w:ascii="宋体" w:hAnsi="宋体" w:cs="宋体"/>
                <w:b/>
                <w:bCs/>
                <w:szCs w:val="21"/>
              </w:rPr>
            </w:pPr>
          </w:p>
        </w:tc>
        <w:tc>
          <w:tcPr>
            <w:tcW w:w="3174" w:type="dxa"/>
            <w:vAlign w:val="center"/>
          </w:tcPr>
          <w:p w14:paraId="356D1B6A">
            <w:pPr>
              <w:widowControl/>
              <w:jc w:val="center"/>
              <w:rPr>
                <w:rFonts w:hint="eastAsia" w:ascii="宋体" w:hAnsi="宋体" w:cs="宋体"/>
                <w:szCs w:val="21"/>
              </w:rPr>
            </w:pPr>
            <w:r>
              <w:rPr>
                <w:rFonts w:hint="eastAsia" w:ascii="宋体" w:hAnsi="宋体" w:cs="宋体"/>
                <w:szCs w:val="21"/>
              </w:rPr>
              <w:t>各种形式员工座谈会</w:t>
            </w:r>
          </w:p>
        </w:tc>
        <w:tc>
          <w:tcPr>
            <w:tcW w:w="1080" w:type="dxa"/>
            <w:vAlign w:val="center"/>
          </w:tcPr>
          <w:p w14:paraId="35C18F82">
            <w:pPr>
              <w:widowControl/>
              <w:jc w:val="center"/>
              <w:rPr>
                <w:rFonts w:hint="eastAsia" w:ascii="宋体" w:hAnsi="宋体" w:cs="宋体"/>
                <w:szCs w:val="21"/>
              </w:rPr>
            </w:pPr>
            <w:r>
              <w:rPr>
                <w:rFonts w:hint="eastAsia" w:ascii="宋体" w:hAnsi="宋体" w:cs="宋体"/>
                <w:szCs w:val="21"/>
              </w:rPr>
              <w:t>每月</w:t>
            </w:r>
          </w:p>
        </w:tc>
        <w:tc>
          <w:tcPr>
            <w:tcW w:w="1310" w:type="dxa"/>
            <w:vMerge w:val="continue"/>
            <w:vAlign w:val="center"/>
          </w:tcPr>
          <w:p w14:paraId="5DAB2FDD">
            <w:pPr>
              <w:widowControl/>
              <w:rPr>
                <w:rFonts w:hint="eastAsia" w:ascii="宋体" w:hAnsi="宋体" w:cs="宋体"/>
                <w:szCs w:val="21"/>
              </w:rPr>
            </w:pPr>
          </w:p>
        </w:tc>
        <w:tc>
          <w:tcPr>
            <w:tcW w:w="2250" w:type="dxa"/>
            <w:vMerge w:val="continue"/>
            <w:vAlign w:val="center"/>
          </w:tcPr>
          <w:p w14:paraId="0B580FA0">
            <w:pPr>
              <w:widowControl/>
              <w:rPr>
                <w:rFonts w:hint="eastAsia" w:ascii="宋体" w:hAnsi="宋体" w:cs="宋体"/>
                <w:szCs w:val="21"/>
              </w:rPr>
            </w:pPr>
          </w:p>
        </w:tc>
      </w:tr>
      <w:tr w14:paraId="3B447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038CBA71">
            <w:pPr>
              <w:widowControl/>
              <w:rPr>
                <w:rFonts w:hint="eastAsia" w:ascii="宋体" w:hAnsi="宋体" w:cs="宋体"/>
                <w:b/>
                <w:bCs/>
                <w:szCs w:val="21"/>
              </w:rPr>
            </w:pPr>
          </w:p>
        </w:tc>
        <w:tc>
          <w:tcPr>
            <w:tcW w:w="3174" w:type="dxa"/>
            <w:vAlign w:val="center"/>
          </w:tcPr>
          <w:p w14:paraId="48D93F64">
            <w:pPr>
              <w:widowControl/>
              <w:jc w:val="center"/>
              <w:rPr>
                <w:rFonts w:hint="eastAsia" w:ascii="宋体" w:hAnsi="宋体" w:cs="宋体"/>
                <w:szCs w:val="21"/>
                <w:lang w:eastAsia="zh-CN"/>
              </w:rPr>
            </w:pPr>
            <w:r>
              <w:rPr>
                <w:rFonts w:hint="eastAsia" w:ascii="宋体" w:hAnsi="宋体" w:cs="宋体"/>
                <w:szCs w:val="21"/>
                <w:lang w:eastAsia="zh-CN"/>
              </w:rPr>
              <w:t>员工的教育和培训（内外训、领导授课、劳动竞赛等）</w:t>
            </w:r>
          </w:p>
        </w:tc>
        <w:tc>
          <w:tcPr>
            <w:tcW w:w="1080" w:type="dxa"/>
            <w:vAlign w:val="center"/>
          </w:tcPr>
          <w:p w14:paraId="5161BDF6">
            <w:pPr>
              <w:widowControl/>
              <w:jc w:val="center"/>
              <w:rPr>
                <w:rFonts w:hint="eastAsia" w:ascii="宋体" w:hAnsi="宋体" w:cs="宋体"/>
                <w:szCs w:val="21"/>
              </w:rPr>
            </w:pPr>
            <w:r>
              <w:rPr>
                <w:rFonts w:hint="eastAsia" w:ascii="宋体" w:hAnsi="宋体" w:cs="宋体"/>
                <w:szCs w:val="21"/>
              </w:rPr>
              <w:t>按计划</w:t>
            </w:r>
          </w:p>
        </w:tc>
        <w:tc>
          <w:tcPr>
            <w:tcW w:w="1310" w:type="dxa"/>
            <w:vAlign w:val="center"/>
          </w:tcPr>
          <w:p w14:paraId="2DC17004">
            <w:pPr>
              <w:widowControl/>
              <w:jc w:val="center"/>
              <w:rPr>
                <w:rFonts w:hint="eastAsia" w:ascii="宋体" w:hAnsi="宋体" w:cs="宋体"/>
                <w:szCs w:val="21"/>
              </w:rPr>
            </w:pPr>
            <w:r>
              <w:rPr>
                <w:rFonts w:hint="eastAsia" w:ascii="宋体" w:hAnsi="宋体" w:cs="宋体"/>
                <w:szCs w:val="21"/>
              </w:rPr>
              <w:t>向下及互动</w:t>
            </w:r>
          </w:p>
        </w:tc>
        <w:tc>
          <w:tcPr>
            <w:tcW w:w="2250" w:type="dxa"/>
            <w:vMerge w:val="continue"/>
            <w:vAlign w:val="center"/>
          </w:tcPr>
          <w:p w14:paraId="70F327A3">
            <w:pPr>
              <w:widowControl/>
              <w:rPr>
                <w:rFonts w:hint="eastAsia" w:ascii="宋体" w:hAnsi="宋体" w:cs="宋体"/>
                <w:szCs w:val="21"/>
              </w:rPr>
            </w:pPr>
          </w:p>
        </w:tc>
      </w:tr>
      <w:tr w14:paraId="4FD36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4DB29F6B">
            <w:pPr>
              <w:widowControl/>
              <w:rPr>
                <w:rFonts w:hint="eastAsia" w:ascii="宋体" w:hAnsi="宋体" w:cs="宋体"/>
                <w:b/>
                <w:bCs/>
                <w:szCs w:val="21"/>
              </w:rPr>
            </w:pPr>
          </w:p>
        </w:tc>
        <w:tc>
          <w:tcPr>
            <w:tcW w:w="3174" w:type="dxa"/>
            <w:vAlign w:val="center"/>
          </w:tcPr>
          <w:p w14:paraId="589AAFD3">
            <w:pPr>
              <w:widowControl/>
              <w:jc w:val="center"/>
              <w:rPr>
                <w:rFonts w:hint="eastAsia" w:ascii="宋体" w:hAnsi="宋体" w:cs="宋体"/>
                <w:szCs w:val="21"/>
              </w:rPr>
            </w:pPr>
            <w:r>
              <w:rPr>
                <w:rFonts w:hint="eastAsia" w:ascii="宋体" w:hAnsi="宋体" w:cs="宋体"/>
                <w:szCs w:val="21"/>
              </w:rPr>
              <w:t>员工文艺活动</w:t>
            </w:r>
          </w:p>
        </w:tc>
        <w:tc>
          <w:tcPr>
            <w:tcW w:w="1080" w:type="dxa"/>
            <w:vAlign w:val="center"/>
          </w:tcPr>
          <w:p w14:paraId="41581755">
            <w:pPr>
              <w:widowControl/>
              <w:jc w:val="center"/>
              <w:rPr>
                <w:rFonts w:hint="eastAsia" w:ascii="宋体" w:hAnsi="宋体" w:cs="宋体"/>
                <w:szCs w:val="21"/>
              </w:rPr>
            </w:pPr>
            <w:r>
              <w:rPr>
                <w:rFonts w:hint="eastAsia" w:ascii="宋体" w:hAnsi="宋体" w:cs="宋体"/>
                <w:szCs w:val="21"/>
              </w:rPr>
              <w:t>每年</w:t>
            </w:r>
          </w:p>
        </w:tc>
        <w:tc>
          <w:tcPr>
            <w:tcW w:w="1310" w:type="dxa"/>
            <w:vAlign w:val="center"/>
          </w:tcPr>
          <w:p w14:paraId="6B83DE02">
            <w:pPr>
              <w:widowControl/>
              <w:jc w:val="center"/>
              <w:rPr>
                <w:rFonts w:hint="eastAsia" w:ascii="宋体" w:hAnsi="宋体" w:cs="宋体"/>
                <w:szCs w:val="21"/>
              </w:rPr>
            </w:pPr>
            <w:r>
              <w:rPr>
                <w:rFonts w:hint="eastAsia" w:ascii="宋体" w:hAnsi="宋体" w:cs="宋体"/>
                <w:szCs w:val="21"/>
              </w:rPr>
              <w:t>互动</w:t>
            </w:r>
          </w:p>
        </w:tc>
        <w:tc>
          <w:tcPr>
            <w:tcW w:w="2250" w:type="dxa"/>
            <w:vMerge w:val="continue"/>
            <w:vAlign w:val="center"/>
          </w:tcPr>
          <w:p w14:paraId="3CE8F387">
            <w:pPr>
              <w:widowControl/>
              <w:rPr>
                <w:rFonts w:hint="eastAsia" w:ascii="宋体" w:hAnsi="宋体" w:cs="宋体"/>
                <w:szCs w:val="21"/>
              </w:rPr>
            </w:pPr>
          </w:p>
        </w:tc>
      </w:tr>
      <w:tr w14:paraId="162B4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7BDD2EBC">
            <w:pPr>
              <w:widowControl/>
              <w:rPr>
                <w:rFonts w:hint="eastAsia" w:ascii="宋体" w:hAnsi="宋体" w:cs="宋体"/>
                <w:b/>
                <w:bCs/>
                <w:szCs w:val="21"/>
              </w:rPr>
            </w:pPr>
          </w:p>
        </w:tc>
        <w:tc>
          <w:tcPr>
            <w:tcW w:w="3174" w:type="dxa"/>
            <w:vAlign w:val="center"/>
          </w:tcPr>
          <w:p w14:paraId="6F56D5C2">
            <w:pPr>
              <w:widowControl/>
              <w:jc w:val="center"/>
              <w:rPr>
                <w:rFonts w:hint="eastAsia" w:ascii="宋体" w:hAnsi="宋体" w:cs="宋体"/>
                <w:szCs w:val="21"/>
              </w:rPr>
            </w:pPr>
            <w:r>
              <w:rPr>
                <w:rFonts w:hint="eastAsia" w:ascii="宋体" w:hAnsi="宋体" w:cs="宋体"/>
                <w:szCs w:val="21"/>
              </w:rPr>
              <w:t>其他形式团体活动</w:t>
            </w:r>
          </w:p>
        </w:tc>
        <w:tc>
          <w:tcPr>
            <w:tcW w:w="1080" w:type="dxa"/>
            <w:vAlign w:val="center"/>
          </w:tcPr>
          <w:p w14:paraId="7153703B">
            <w:pPr>
              <w:widowControl/>
              <w:jc w:val="center"/>
              <w:rPr>
                <w:rFonts w:hint="eastAsia" w:ascii="宋体" w:hAnsi="宋体" w:cs="宋体"/>
                <w:szCs w:val="21"/>
              </w:rPr>
            </w:pPr>
            <w:r>
              <w:rPr>
                <w:rFonts w:hint="eastAsia" w:ascii="宋体" w:hAnsi="宋体" w:cs="宋体"/>
                <w:szCs w:val="21"/>
              </w:rPr>
              <w:t>按计划</w:t>
            </w:r>
          </w:p>
        </w:tc>
        <w:tc>
          <w:tcPr>
            <w:tcW w:w="1310" w:type="dxa"/>
            <w:vAlign w:val="center"/>
          </w:tcPr>
          <w:p w14:paraId="290571E9">
            <w:pPr>
              <w:widowControl/>
              <w:jc w:val="center"/>
              <w:rPr>
                <w:rFonts w:hint="eastAsia" w:ascii="宋体" w:hAnsi="宋体" w:cs="宋体"/>
                <w:szCs w:val="21"/>
              </w:rPr>
            </w:pPr>
            <w:r>
              <w:rPr>
                <w:rFonts w:hint="eastAsia" w:ascii="宋体" w:hAnsi="宋体" w:cs="宋体"/>
                <w:szCs w:val="21"/>
              </w:rPr>
              <w:t>互动</w:t>
            </w:r>
          </w:p>
        </w:tc>
        <w:tc>
          <w:tcPr>
            <w:tcW w:w="2250" w:type="dxa"/>
            <w:vMerge w:val="continue"/>
            <w:vAlign w:val="center"/>
          </w:tcPr>
          <w:p w14:paraId="50EFAF77">
            <w:pPr>
              <w:widowControl/>
              <w:rPr>
                <w:rFonts w:hint="eastAsia" w:ascii="宋体" w:hAnsi="宋体" w:cs="宋体"/>
                <w:szCs w:val="21"/>
              </w:rPr>
            </w:pPr>
          </w:p>
        </w:tc>
      </w:tr>
      <w:tr w14:paraId="7B74F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166CC8E0">
            <w:pPr>
              <w:widowControl/>
              <w:rPr>
                <w:rFonts w:hint="eastAsia" w:ascii="宋体" w:hAnsi="宋体" w:cs="宋体"/>
                <w:b/>
                <w:bCs/>
                <w:szCs w:val="21"/>
              </w:rPr>
            </w:pPr>
          </w:p>
        </w:tc>
        <w:tc>
          <w:tcPr>
            <w:tcW w:w="3174" w:type="dxa"/>
            <w:vAlign w:val="center"/>
          </w:tcPr>
          <w:p w14:paraId="6662F6F7">
            <w:pPr>
              <w:widowControl/>
              <w:jc w:val="center"/>
              <w:rPr>
                <w:rFonts w:hint="eastAsia" w:ascii="宋体" w:hAnsi="宋体" w:cs="宋体"/>
                <w:szCs w:val="21"/>
                <w:lang w:eastAsia="zh-CN"/>
              </w:rPr>
            </w:pPr>
            <w:r>
              <w:rPr>
                <w:rFonts w:hint="eastAsia" w:ascii="宋体" w:hAnsi="宋体" w:cs="宋体"/>
                <w:szCs w:val="21"/>
                <w:lang w:eastAsia="zh-CN"/>
              </w:rPr>
              <w:t>领导意见箱、内部投诉箱</w:t>
            </w:r>
          </w:p>
        </w:tc>
        <w:tc>
          <w:tcPr>
            <w:tcW w:w="1080" w:type="dxa"/>
            <w:vAlign w:val="center"/>
          </w:tcPr>
          <w:p w14:paraId="7DA94768">
            <w:pPr>
              <w:widowControl/>
              <w:jc w:val="center"/>
              <w:rPr>
                <w:rFonts w:hint="eastAsia" w:ascii="宋体" w:hAnsi="宋体" w:cs="宋体"/>
                <w:szCs w:val="21"/>
              </w:rPr>
            </w:pPr>
            <w:r>
              <w:rPr>
                <w:rFonts w:hint="eastAsia" w:ascii="宋体" w:hAnsi="宋体" w:cs="宋体"/>
                <w:szCs w:val="21"/>
              </w:rPr>
              <w:t>随时</w:t>
            </w:r>
          </w:p>
        </w:tc>
        <w:tc>
          <w:tcPr>
            <w:tcW w:w="1310" w:type="dxa"/>
            <w:vAlign w:val="center"/>
          </w:tcPr>
          <w:p w14:paraId="62254D47">
            <w:pPr>
              <w:widowControl/>
              <w:jc w:val="center"/>
              <w:rPr>
                <w:rFonts w:hint="eastAsia" w:ascii="宋体" w:hAnsi="宋体" w:cs="宋体"/>
                <w:szCs w:val="21"/>
              </w:rPr>
            </w:pPr>
            <w:r>
              <w:rPr>
                <w:rFonts w:hint="eastAsia" w:ascii="宋体" w:hAnsi="宋体" w:cs="宋体"/>
                <w:szCs w:val="21"/>
              </w:rPr>
              <w:t>双向</w:t>
            </w:r>
          </w:p>
        </w:tc>
        <w:tc>
          <w:tcPr>
            <w:tcW w:w="2250" w:type="dxa"/>
            <w:vMerge w:val="continue"/>
            <w:vAlign w:val="center"/>
          </w:tcPr>
          <w:p w14:paraId="4C12773B">
            <w:pPr>
              <w:widowControl/>
              <w:rPr>
                <w:rFonts w:hint="eastAsia" w:ascii="宋体" w:hAnsi="宋体" w:cs="宋体"/>
                <w:szCs w:val="21"/>
              </w:rPr>
            </w:pPr>
          </w:p>
        </w:tc>
      </w:tr>
      <w:tr w14:paraId="6C2E2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50FA9B32">
            <w:pPr>
              <w:widowControl/>
              <w:rPr>
                <w:rFonts w:hint="eastAsia" w:ascii="宋体" w:hAnsi="宋体" w:cs="宋体"/>
                <w:b/>
                <w:bCs/>
                <w:szCs w:val="21"/>
              </w:rPr>
            </w:pPr>
          </w:p>
        </w:tc>
        <w:tc>
          <w:tcPr>
            <w:tcW w:w="3174" w:type="dxa"/>
            <w:vAlign w:val="center"/>
          </w:tcPr>
          <w:p w14:paraId="39209E76">
            <w:pPr>
              <w:widowControl/>
              <w:jc w:val="center"/>
              <w:rPr>
                <w:rFonts w:hint="eastAsia" w:ascii="宋体" w:hAnsi="宋体" w:cs="宋体"/>
                <w:szCs w:val="21"/>
                <w:lang w:eastAsia="zh-CN"/>
              </w:rPr>
            </w:pPr>
            <w:r>
              <w:rPr>
                <w:rFonts w:hint="eastAsia" w:ascii="宋体" w:hAnsi="宋体" w:cs="宋体"/>
                <w:szCs w:val="21"/>
                <w:lang w:eastAsia="zh-CN"/>
              </w:rPr>
              <w:t>开展各种形式员工调查、测评</w:t>
            </w:r>
          </w:p>
        </w:tc>
        <w:tc>
          <w:tcPr>
            <w:tcW w:w="1080" w:type="dxa"/>
            <w:vAlign w:val="center"/>
          </w:tcPr>
          <w:p w14:paraId="336BF1C8">
            <w:pPr>
              <w:widowControl/>
              <w:jc w:val="center"/>
              <w:rPr>
                <w:rFonts w:hint="eastAsia" w:ascii="宋体" w:hAnsi="宋体" w:cs="宋体"/>
                <w:szCs w:val="21"/>
              </w:rPr>
            </w:pPr>
            <w:r>
              <w:rPr>
                <w:rFonts w:hint="eastAsia" w:ascii="宋体" w:hAnsi="宋体" w:cs="宋体"/>
                <w:szCs w:val="21"/>
              </w:rPr>
              <w:t>计划</w:t>
            </w:r>
          </w:p>
        </w:tc>
        <w:tc>
          <w:tcPr>
            <w:tcW w:w="1310" w:type="dxa"/>
            <w:vAlign w:val="center"/>
          </w:tcPr>
          <w:p w14:paraId="4F27421F">
            <w:pPr>
              <w:widowControl/>
              <w:jc w:val="center"/>
              <w:rPr>
                <w:rFonts w:hint="eastAsia" w:ascii="宋体" w:hAnsi="宋体" w:cs="宋体"/>
                <w:szCs w:val="21"/>
              </w:rPr>
            </w:pPr>
            <w:r>
              <w:rPr>
                <w:rFonts w:hint="eastAsia" w:ascii="宋体" w:hAnsi="宋体" w:cs="宋体"/>
                <w:szCs w:val="21"/>
              </w:rPr>
              <w:t>互动及向下</w:t>
            </w:r>
          </w:p>
        </w:tc>
        <w:tc>
          <w:tcPr>
            <w:tcW w:w="2250" w:type="dxa"/>
            <w:vMerge w:val="continue"/>
            <w:vAlign w:val="center"/>
          </w:tcPr>
          <w:p w14:paraId="30208F81">
            <w:pPr>
              <w:widowControl/>
              <w:rPr>
                <w:rFonts w:hint="eastAsia" w:ascii="宋体" w:hAnsi="宋体" w:cs="宋体"/>
                <w:szCs w:val="21"/>
              </w:rPr>
            </w:pPr>
          </w:p>
        </w:tc>
      </w:tr>
      <w:tr w14:paraId="34481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vAlign w:val="center"/>
          </w:tcPr>
          <w:p w14:paraId="415F8199">
            <w:pPr>
              <w:widowControl/>
              <w:jc w:val="center"/>
              <w:rPr>
                <w:rFonts w:hint="eastAsia" w:ascii="宋体" w:hAnsi="宋体" w:cs="宋体"/>
                <w:b/>
                <w:bCs/>
                <w:szCs w:val="21"/>
              </w:rPr>
            </w:pPr>
            <w:r>
              <w:rPr>
                <w:rFonts w:hint="eastAsia" w:ascii="宋体" w:hAnsi="宋体" w:cs="宋体"/>
                <w:b/>
                <w:bCs/>
                <w:szCs w:val="21"/>
              </w:rPr>
              <w:t>关键顾客</w:t>
            </w:r>
          </w:p>
        </w:tc>
        <w:tc>
          <w:tcPr>
            <w:tcW w:w="3174" w:type="dxa"/>
            <w:vAlign w:val="center"/>
          </w:tcPr>
          <w:p w14:paraId="07FB95BD">
            <w:pPr>
              <w:widowControl/>
              <w:jc w:val="center"/>
              <w:rPr>
                <w:rFonts w:hint="eastAsia" w:ascii="宋体" w:hAnsi="宋体" w:cs="宋体"/>
                <w:szCs w:val="21"/>
              </w:rPr>
            </w:pPr>
            <w:r>
              <w:rPr>
                <w:rFonts w:hint="eastAsia" w:ascii="宋体" w:hAnsi="宋体" w:cs="宋体"/>
                <w:szCs w:val="21"/>
              </w:rPr>
              <w:t>公司宣传资料</w:t>
            </w:r>
          </w:p>
        </w:tc>
        <w:tc>
          <w:tcPr>
            <w:tcW w:w="1080" w:type="dxa"/>
            <w:vAlign w:val="center"/>
          </w:tcPr>
          <w:p w14:paraId="59AC2E41">
            <w:pPr>
              <w:widowControl/>
              <w:jc w:val="center"/>
              <w:rPr>
                <w:rFonts w:hint="eastAsia" w:ascii="宋体" w:hAnsi="宋体" w:cs="宋体"/>
                <w:szCs w:val="21"/>
              </w:rPr>
            </w:pPr>
            <w:r>
              <w:rPr>
                <w:rFonts w:hint="eastAsia" w:ascii="宋体" w:hAnsi="宋体" w:cs="宋体"/>
                <w:szCs w:val="21"/>
              </w:rPr>
              <w:t>年度</w:t>
            </w:r>
          </w:p>
        </w:tc>
        <w:tc>
          <w:tcPr>
            <w:tcW w:w="1310" w:type="dxa"/>
            <w:vAlign w:val="center"/>
          </w:tcPr>
          <w:p w14:paraId="3D774F1A">
            <w:pPr>
              <w:widowControl/>
              <w:jc w:val="center"/>
              <w:rPr>
                <w:rFonts w:hint="eastAsia" w:ascii="宋体" w:hAnsi="宋体" w:cs="宋体"/>
                <w:szCs w:val="21"/>
              </w:rPr>
            </w:pPr>
            <w:r>
              <w:rPr>
                <w:rFonts w:hint="eastAsia" w:ascii="宋体" w:hAnsi="宋体" w:cs="宋体"/>
                <w:szCs w:val="21"/>
              </w:rPr>
              <w:t>横向</w:t>
            </w:r>
          </w:p>
        </w:tc>
        <w:tc>
          <w:tcPr>
            <w:tcW w:w="2250" w:type="dxa"/>
            <w:vMerge w:val="restart"/>
            <w:vAlign w:val="center"/>
          </w:tcPr>
          <w:p w14:paraId="252269F8">
            <w:pPr>
              <w:widowControl/>
              <w:rPr>
                <w:rFonts w:hint="eastAsia" w:ascii="宋体" w:hAnsi="宋体" w:cs="宋体"/>
                <w:szCs w:val="21"/>
                <w:lang w:eastAsia="zh-CN"/>
              </w:rPr>
            </w:pPr>
            <w:r>
              <w:rPr>
                <w:rFonts w:hint="eastAsia" w:ascii="宋体" w:hAnsi="宋体" w:cs="宋体"/>
                <w:szCs w:val="21"/>
                <w:lang w:eastAsia="zh-CN"/>
              </w:rPr>
              <w:t>企业文化、企业形象、产品信息、经营动态、发展方向；提升企业知名度和美誉度；与企业互动，推广企业成功经验</w:t>
            </w:r>
          </w:p>
        </w:tc>
      </w:tr>
      <w:tr w14:paraId="50BC1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4D2F4353">
            <w:pPr>
              <w:widowControl/>
              <w:rPr>
                <w:rFonts w:hint="eastAsia" w:ascii="宋体" w:hAnsi="宋体" w:cs="宋体"/>
                <w:b/>
                <w:bCs/>
                <w:szCs w:val="21"/>
                <w:lang w:eastAsia="zh-CN"/>
              </w:rPr>
            </w:pPr>
          </w:p>
        </w:tc>
        <w:tc>
          <w:tcPr>
            <w:tcW w:w="3174" w:type="dxa"/>
            <w:vAlign w:val="center"/>
          </w:tcPr>
          <w:p w14:paraId="2936B885">
            <w:pPr>
              <w:widowControl/>
              <w:jc w:val="center"/>
              <w:rPr>
                <w:rFonts w:hint="eastAsia" w:ascii="宋体" w:hAnsi="宋体" w:cs="宋体"/>
                <w:szCs w:val="21"/>
              </w:rPr>
            </w:pPr>
            <w:r>
              <w:rPr>
                <w:rFonts w:hint="eastAsia" w:ascii="宋体" w:hAnsi="宋体" w:cs="宋体"/>
                <w:szCs w:val="21"/>
              </w:rPr>
              <w:t>营销会议</w:t>
            </w:r>
          </w:p>
        </w:tc>
        <w:tc>
          <w:tcPr>
            <w:tcW w:w="1080" w:type="dxa"/>
            <w:vAlign w:val="center"/>
          </w:tcPr>
          <w:p w14:paraId="33519957">
            <w:pPr>
              <w:widowControl/>
              <w:jc w:val="center"/>
              <w:rPr>
                <w:rFonts w:hint="eastAsia" w:ascii="宋体" w:hAnsi="宋体" w:cs="宋体"/>
                <w:szCs w:val="21"/>
              </w:rPr>
            </w:pPr>
            <w:r>
              <w:rPr>
                <w:rFonts w:hint="eastAsia" w:ascii="宋体" w:hAnsi="宋体" w:cs="宋体"/>
                <w:szCs w:val="21"/>
              </w:rPr>
              <w:t>计划</w:t>
            </w:r>
          </w:p>
        </w:tc>
        <w:tc>
          <w:tcPr>
            <w:tcW w:w="1310" w:type="dxa"/>
            <w:vAlign w:val="center"/>
          </w:tcPr>
          <w:p w14:paraId="5C745BF8">
            <w:pPr>
              <w:widowControl/>
              <w:jc w:val="center"/>
              <w:rPr>
                <w:rFonts w:hint="eastAsia" w:ascii="宋体" w:hAnsi="宋体" w:cs="宋体"/>
                <w:szCs w:val="21"/>
              </w:rPr>
            </w:pPr>
            <w:r>
              <w:rPr>
                <w:rFonts w:hint="eastAsia" w:ascii="宋体" w:hAnsi="宋体" w:cs="宋体"/>
                <w:szCs w:val="21"/>
              </w:rPr>
              <w:t>互动</w:t>
            </w:r>
          </w:p>
        </w:tc>
        <w:tc>
          <w:tcPr>
            <w:tcW w:w="2250" w:type="dxa"/>
            <w:vMerge w:val="continue"/>
            <w:vAlign w:val="center"/>
          </w:tcPr>
          <w:p w14:paraId="76F9303A">
            <w:pPr>
              <w:widowControl/>
              <w:rPr>
                <w:rFonts w:hint="eastAsia" w:ascii="宋体" w:hAnsi="宋体" w:cs="宋体"/>
                <w:szCs w:val="21"/>
              </w:rPr>
            </w:pPr>
          </w:p>
        </w:tc>
      </w:tr>
      <w:tr w14:paraId="250DD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5B3B98D9">
            <w:pPr>
              <w:widowControl/>
              <w:rPr>
                <w:rFonts w:hint="eastAsia" w:ascii="宋体" w:hAnsi="宋体" w:cs="宋体"/>
                <w:b/>
                <w:bCs/>
                <w:szCs w:val="21"/>
              </w:rPr>
            </w:pPr>
          </w:p>
        </w:tc>
        <w:tc>
          <w:tcPr>
            <w:tcW w:w="3174" w:type="dxa"/>
            <w:vAlign w:val="center"/>
          </w:tcPr>
          <w:p w14:paraId="1863B16C">
            <w:pPr>
              <w:widowControl/>
              <w:jc w:val="center"/>
              <w:rPr>
                <w:rFonts w:hint="eastAsia" w:ascii="宋体" w:hAnsi="宋体" w:cs="宋体"/>
                <w:szCs w:val="21"/>
              </w:rPr>
            </w:pPr>
            <w:r>
              <w:rPr>
                <w:rFonts w:hint="eastAsia" w:ascii="宋体" w:hAnsi="宋体" w:cs="宋体"/>
                <w:szCs w:val="21"/>
              </w:rPr>
              <w:t>客户回访</w:t>
            </w:r>
          </w:p>
        </w:tc>
        <w:tc>
          <w:tcPr>
            <w:tcW w:w="1080" w:type="dxa"/>
            <w:vAlign w:val="center"/>
          </w:tcPr>
          <w:p w14:paraId="439A47FD">
            <w:pPr>
              <w:widowControl/>
              <w:jc w:val="center"/>
              <w:rPr>
                <w:rFonts w:hint="eastAsia" w:ascii="宋体" w:hAnsi="宋体" w:cs="宋体"/>
                <w:szCs w:val="21"/>
              </w:rPr>
            </w:pPr>
            <w:r>
              <w:rPr>
                <w:rFonts w:hint="eastAsia" w:ascii="宋体" w:hAnsi="宋体" w:cs="宋体"/>
                <w:szCs w:val="21"/>
              </w:rPr>
              <w:t>随时计划</w:t>
            </w:r>
          </w:p>
        </w:tc>
        <w:tc>
          <w:tcPr>
            <w:tcW w:w="1310" w:type="dxa"/>
            <w:vAlign w:val="center"/>
          </w:tcPr>
          <w:p w14:paraId="10C880E4">
            <w:pPr>
              <w:widowControl/>
              <w:jc w:val="center"/>
              <w:rPr>
                <w:rFonts w:hint="eastAsia" w:ascii="宋体" w:hAnsi="宋体" w:cs="宋体"/>
                <w:szCs w:val="21"/>
              </w:rPr>
            </w:pPr>
            <w:r>
              <w:rPr>
                <w:rFonts w:hint="eastAsia" w:ascii="宋体" w:hAnsi="宋体" w:cs="宋体"/>
                <w:szCs w:val="21"/>
              </w:rPr>
              <w:t>互动</w:t>
            </w:r>
          </w:p>
        </w:tc>
        <w:tc>
          <w:tcPr>
            <w:tcW w:w="2250" w:type="dxa"/>
            <w:vMerge w:val="continue"/>
            <w:vAlign w:val="center"/>
          </w:tcPr>
          <w:p w14:paraId="77056558">
            <w:pPr>
              <w:widowControl/>
              <w:rPr>
                <w:rFonts w:hint="eastAsia" w:ascii="宋体" w:hAnsi="宋体" w:cs="宋体"/>
                <w:szCs w:val="21"/>
              </w:rPr>
            </w:pPr>
          </w:p>
        </w:tc>
      </w:tr>
      <w:tr w14:paraId="6882E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1FB80FD7">
            <w:pPr>
              <w:widowControl/>
              <w:rPr>
                <w:rFonts w:hint="eastAsia" w:ascii="宋体" w:hAnsi="宋体" w:cs="宋体"/>
                <w:b/>
                <w:bCs/>
                <w:szCs w:val="21"/>
              </w:rPr>
            </w:pPr>
          </w:p>
        </w:tc>
        <w:tc>
          <w:tcPr>
            <w:tcW w:w="3174" w:type="dxa"/>
            <w:vAlign w:val="center"/>
          </w:tcPr>
          <w:p w14:paraId="7344762E">
            <w:pPr>
              <w:widowControl/>
              <w:jc w:val="center"/>
              <w:rPr>
                <w:rFonts w:hint="eastAsia" w:ascii="宋体" w:hAnsi="宋体" w:cs="宋体"/>
                <w:szCs w:val="21"/>
              </w:rPr>
            </w:pPr>
            <w:r>
              <w:rPr>
                <w:rFonts w:hint="eastAsia" w:ascii="宋体" w:hAnsi="宋体" w:cs="宋体"/>
                <w:szCs w:val="21"/>
              </w:rPr>
              <w:t>网站、经销商会议</w:t>
            </w:r>
          </w:p>
        </w:tc>
        <w:tc>
          <w:tcPr>
            <w:tcW w:w="1080" w:type="dxa"/>
            <w:vAlign w:val="center"/>
          </w:tcPr>
          <w:p w14:paraId="2476C311">
            <w:pPr>
              <w:widowControl/>
              <w:jc w:val="center"/>
              <w:rPr>
                <w:rFonts w:hint="eastAsia" w:ascii="宋体" w:hAnsi="宋体" w:cs="宋体"/>
                <w:szCs w:val="21"/>
              </w:rPr>
            </w:pPr>
            <w:r>
              <w:rPr>
                <w:rFonts w:hint="eastAsia" w:ascii="宋体" w:hAnsi="宋体" w:cs="宋体"/>
                <w:szCs w:val="21"/>
              </w:rPr>
              <w:t>随时计划</w:t>
            </w:r>
          </w:p>
        </w:tc>
        <w:tc>
          <w:tcPr>
            <w:tcW w:w="1310" w:type="dxa"/>
            <w:vAlign w:val="center"/>
          </w:tcPr>
          <w:p w14:paraId="7B261C7E">
            <w:pPr>
              <w:widowControl/>
              <w:jc w:val="center"/>
              <w:rPr>
                <w:rFonts w:hint="eastAsia" w:ascii="宋体" w:hAnsi="宋体" w:cs="宋体"/>
                <w:szCs w:val="21"/>
              </w:rPr>
            </w:pPr>
            <w:r>
              <w:rPr>
                <w:rFonts w:hint="eastAsia" w:ascii="宋体" w:hAnsi="宋体" w:cs="宋体"/>
                <w:szCs w:val="21"/>
              </w:rPr>
              <w:t>横向</w:t>
            </w:r>
          </w:p>
        </w:tc>
        <w:tc>
          <w:tcPr>
            <w:tcW w:w="2250" w:type="dxa"/>
            <w:vMerge w:val="continue"/>
            <w:vAlign w:val="center"/>
          </w:tcPr>
          <w:p w14:paraId="00200C42">
            <w:pPr>
              <w:widowControl/>
              <w:rPr>
                <w:rFonts w:hint="eastAsia" w:ascii="宋体" w:hAnsi="宋体" w:cs="宋体"/>
                <w:szCs w:val="21"/>
              </w:rPr>
            </w:pPr>
          </w:p>
        </w:tc>
      </w:tr>
      <w:tr w14:paraId="6A2FB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008394AF">
            <w:pPr>
              <w:widowControl/>
              <w:rPr>
                <w:rFonts w:hint="eastAsia" w:ascii="宋体" w:hAnsi="宋体" w:cs="宋体"/>
                <w:b/>
                <w:bCs/>
                <w:szCs w:val="21"/>
              </w:rPr>
            </w:pPr>
          </w:p>
        </w:tc>
        <w:tc>
          <w:tcPr>
            <w:tcW w:w="3174" w:type="dxa"/>
            <w:vAlign w:val="center"/>
          </w:tcPr>
          <w:p w14:paraId="52EBAB34">
            <w:pPr>
              <w:widowControl/>
              <w:jc w:val="center"/>
              <w:rPr>
                <w:rFonts w:hint="eastAsia" w:ascii="宋体" w:hAnsi="宋体" w:cs="宋体"/>
                <w:szCs w:val="21"/>
                <w:lang w:eastAsia="zh-CN"/>
              </w:rPr>
            </w:pPr>
            <w:r>
              <w:rPr>
                <w:rFonts w:hint="eastAsia" w:ascii="宋体" w:hAnsi="宋体" w:cs="宋体"/>
                <w:szCs w:val="21"/>
                <w:lang w:eastAsia="zh-CN"/>
              </w:rPr>
              <w:t>日常沟通（服务热线、客户调查、业务回访等）</w:t>
            </w:r>
          </w:p>
        </w:tc>
        <w:tc>
          <w:tcPr>
            <w:tcW w:w="1080" w:type="dxa"/>
            <w:vAlign w:val="center"/>
          </w:tcPr>
          <w:p w14:paraId="3613DB7C">
            <w:pPr>
              <w:widowControl/>
              <w:jc w:val="center"/>
              <w:rPr>
                <w:rFonts w:hint="eastAsia" w:ascii="宋体" w:hAnsi="宋体" w:cs="宋体"/>
                <w:szCs w:val="21"/>
              </w:rPr>
            </w:pPr>
            <w:r>
              <w:rPr>
                <w:rFonts w:hint="eastAsia" w:ascii="宋体" w:hAnsi="宋体" w:cs="宋体"/>
                <w:szCs w:val="21"/>
              </w:rPr>
              <w:t>日常</w:t>
            </w:r>
          </w:p>
        </w:tc>
        <w:tc>
          <w:tcPr>
            <w:tcW w:w="1310" w:type="dxa"/>
            <w:vAlign w:val="center"/>
          </w:tcPr>
          <w:p w14:paraId="32D7F113">
            <w:pPr>
              <w:widowControl/>
              <w:jc w:val="center"/>
              <w:rPr>
                <w:rFonts w:hint="eastAsia" w:ascii="宋体" w:hAnsi="宋体" w:cs="宋体"/>
                <w:szCs w:val="21"/>
              </w:rPr>
            </w:pPr>
            <w:r>
              <w:rPr>
                <w:rFonts w:hint="eastAsia" w:ascii="宋体" w:hAnsi="宋体" w:cs="宋体"/>
                <w:szCs w:val="21"/>
              </w:rPr>
              <w:t>双向</w:t>
            </w:r>
          </w:p>
        </w:tc>
        <w:tc>
          <w:tcPr>
            <w:tcW w:w="2250" w:type="dxa"/>
            <w:vMerge w:val="continue"/>
            <w:vAlign w:val="center"/>
          </w:tcPr>
          <w:p w14:paraId="21483541">
            <w:pPr>
              <w:widowControl/>
              <w:rPr>
                <w:rFonts w:hint="eastAsia" w:ascii="宋体" w:hAnsi="宋体" w:cs="宋体"/>
                <w:szCs w:val="21"/>
              </w:rPr>
            </w:pPr>
          </w:p>
        </w:tc>
      </w:tr>
      <w:tr w14:paraId="20F67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vAlign w:val="center"/>
          </w:tcPr>
          <w:p w14:paraId="44DDF65C">
            <w:pPr>
              <w:widowControl/>
              <w:jc w:val="center"/>
              <w:rPr>
                <w:rFonts w:hint="eastAsia" w:ascii="宋体" w:hAnsi="宋体" w:cs="宋体"/>
                <w:b/>
                <w:bCs/>
                <w:szCs w:val="21"/>
              </w:rPr>
            </w:pPr>
            <w:r>
              <w:rPr>
                <w:rFonts w:hint="eastAsia" w:ascii="宋体" w:hAnsi="宋体" w:cs="宋体"/>
                <w:b/>
                <w:bCs/>
                <w:szCs w:val="21"/>
              </w:rPr>
              <w:t>供应商</w:t>
            </w:r>
          </w:p>
        </w:tc>
        <w:tc>
          <w:tcPr>
            <w:tcW w:w="3174" w:type="dxa"/>
            <w:vAlign w:val="center"/>
          </w:tcPr>
          <w:p w14:paraId="12410DED">
            <w:pPr>
              <w:widowControl/>
              <w:jc w:val="center"/>
              <w:rPr>
                <w:rFonts w:hint="eastAsia" w:ascii="宋体" w:hAnsi="宋体" w:cs="宋体"/>
                <w:szCs w:val="21"/>
              </w:rPr>
            </w:pPr>
            <w:r>
              <w:rPr>
                <w:rFonts w:hint="eastAsia" w:ascii="宋体" w:hAnsi="宋体" w:cs="宋体"/>
                <w:szCs w:val="21"/>
              </w:rPr>
              <w:t>供应商会议</w:t>
            </w:r>
          </w:p>
        </w:tc>
        <w:tc>
          <w:tcPr>
            <w:tcW w:w="1080" w:type="dxa"/>
            <w:vAlign w:val="center"/>
          </w:tcPr>
          <w:p w14:paraId="64C00327">
            <w:pPr>
              <w:widowControl/>
              <w:jc w:val="center"/>
              <w:rPr>
                <w:rFonts w:hint="eastAsia" w:ascii="宋体" w:hAnsi="宋体" w:cs="宋体"/>
                <w:szCs w:val="21"/>
              </w:rPr>
            </w:pPr>
            <w:r>
              <w:rPr>
                <w:rFonts w:hint="eastAsia" w:ascii="宋体" w:hAnsi="宋体" w:cs="宋体"/>
                <w:szCs w:val="21"/>
              </w:rPr>
              <w:t>每年</w:t>
            </w:r>
          </w:p>
        </w:tc>
        <w:tc>
          <w:tcPr>
            <w:tcW w:w="1310" w:type="dxa"/>
            <w:vAlign w:val="center"/>
          </w:tcPr>
          <w:p w14:paraId="3545E901">
            <w:pPr>
              <w:widowControl/>
              <w:jc w:val="center"/>
              <w:rPr>
                <w:rFonts w:hint="eastAsia" w:ascii="宋体" w:hAnsi="宋体" w:cs="宋体"/>
                <w:szCs w:val="21"/>
              </w:rPr>
            </w:pPr>
            <w:r>
              <w:rPr>
                <w:rFonts w:hint="eastAsia" w:ascii="宋体" w:hAnsi="宋体" w:cs="宋体"/>
                <w:szCs w:val="21"/>
              </w:rPr>
              <w:t>横向</w:t>
            </w:r>
          </w:p>
        </w:tc>
        <w:tc>
          <w:tcPr>
            <w:tcW w:w="2250" w:type="dxa"/>
            <w:vMerge w:val="continue"/>
            <w:vAlign w:val="center"/>
          </w:tcPr>
          <w:p w14:paraId="56088C2D">
            <w:pPr>
              <w:widowControl/>
              <w:rPr>
                <w:rFonts w:hint="eastAsia" w:ascii="宋体" w:hAnsi="宋体" w:cs="宋体"/>
                <w:szCs w:val="21"/>
              </w:rPr>
            </w:pPr>
          </w:p>
        </w:tc>
      </w:tr>
      <w:tr w14:paraId="132D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2A837F39">
            <w:pPr>
              <w:widowControl/>
              <w:rPr>
                <w:rFonts w:hint="eastAsia" w:ascii="宋体" w:hAnsi="宋体" w:cs="宋体"/>
                <w:b/>
                <w:bCs/>
                <w:szCs w:val="21"/>
              </w:rPr>
            </w:pPr>
          </w:p>
        </w:tc>
        <w:tc>
          <w:tcPr>
            <w:tcW w:w="3174" w:type="dxa"/>
            <w:vAlign w:val="center"/>
          </w:tcPr>
          <w:p w14:paraId="11B471E5">
            <w:pPr>
              <w:widowControl/>
              <w:jc w:val="center"/>
              <w:rPr>
                <w:rFonts w:hint="eastAsia" w:ascii="宋体" w:hAnsi="宋体" w:cs="宋体"/>
                <w:szCs w:val="21"/>
              </w:rPr>
            </w:pPr>
            <w:r>
              <w:rPr>
                <w:rFonts w:hint="eastAsia" w:ascii="宋体" w:hAnsi="宋体" w:cs="宋体"/>
                <w:szCs w:val="21"/>
              </w:rPr>
              <w:t>供应商调查</w:t>
            </w:r>
          </w:p>
        </w:tc>
        <w:tc>
          <w:tcPr>
            <w:tcW w:w="1080" w:type="dxa"/>
            <w:vAlign w:val="center"/>
          </w:tcPr>
          <w:p w14:paraId="52821CE8">
            <w:pPr>
              <w:widowControl/>
              <w:jc w:val="center"/>
              <w:rPr>
                <w:rFonts w:hint="eastAsia" w:ascii="宋体" w:hAnsi="宋体" w:cs="宋体"/>
                <w:szCs w:val="21"/>
              </w:rPr>
            </w:pPr>
            <w:r>
              <w:rPr>
                <w:rFonts w:hint="eastAsia" w:ascii="宋体" w:hAnsi="宋体" w:cs="宋体"/>
                <w:szCs w:val="21"/>
              </w:rPr>
              <w:t>每年</w:t>
            </w:r>
          </w:p>
        </w:tc>
        <w:tc>
          <w:tcPr>
            <w:tcW w:w="1310" w:type="dxa"/>
            <w:vAlign w:val="center"/>
          </w:tcPr>
          <w:p w14:paraId="649BCB64">
            <w:pPr>
              <w:widowControl/>
              <w:jc w:val="center"/>
              <w:rPr>
                <w:rFonts w:hint="eastAsia" w:ascii="宋体" w:hAnsi="宋体" w:cs="宋体"/>
                <w:szCs w:val="21"/>
              </w:rPr>
            </w:pPr>
            <w:r>
              <w:rPr>
                <w:rFonts w:hint="eastAsia" w:ascii="宋体" w:hAnsi="宋体" w:cs="宋体"/>
                <w:szCs w:val="21"/>
              </w:rPr>
              <w:t>双向互动</w:t>
            </w:r>
          </w:p>
        </w:tc>
        <w:tc>
          <w:tcPr>
            <w:tcW w:w="2250" w:type="dxa"/>
            <w:vMerge w:val="continue"/>
            <w:vAlign w:val="center"/>
          </w:tcPr>
          <w:p w14:paraId="47D6B6BC">
            <w:pPr>
              <w:widowControl/>
              <w:rPr>
                <w:rFonts w:hint="eastAsia" w:ascii="宋体" w:hAnsi="宋体" w:cs="宋体"/>
                <w:szCs w:val="21"/>
              </w:rPr>
            </w:pPr>
          </w:p>
        </w:tc>
      </w:tr>
      <w:tr w14:paraId="4A870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46BEB9A7">
            <w:pPr>
              <w:widowControl/>
              <w:rPr>
                <w:rFonts w:hint="eastAsia" w:ascii="宋体" w:hAnsi="宋体" w:cs="宋体"/>
                <w:b/>
                <w:bCs/>
                <w:szCs w:val="21"/>
              </w:rPr>
            </w:pPr>
          </w:p>
        </w:tc>
        <w:tc>
          <w:tcPr>
            <w:tcW w:w="3174" w:type="dxa"/>
            <w:vAlign w:val="center"/>
          </w:tcPr>
          <w:p w14:paraId="1DE51848">
            <w:pPr>
              <w:widowControl/>
              <w:jc w:val="center"/>
              <w:rPr>
                <w:rFonts w:hint="eastAsia" w:ascii="宋体" w:hAnsi="宋体" w:cs="宋体"/>
                <w:szCs w:val="21"/>
              </w:rPr>
            </w:pPr>
            <w:r>
              <w:rPr>
                <w:rFonts w:hint="eastAsia" w:ascii="宋体" w:hAnsi="宋体" w:cs="宋体"/>
                <w:szCs w:val="21"/>
              </w:rPr>
              <w:t>网站、报纸、杂志等</w:t>
            </w:r>
          </w:p>
        </w:tc>
        <w:tc>
          <w:tcPr>
            <w:tcW w:w="1080" w:type="dxa"/>
            <w:vAlign w:val="center"/>
          </w:tcPr>
          <w:p w14:paraId="78E1491C">
            <w:pPr>
              <w:widowControl/>
              <w:jc w:val="center"/>
              <w:rPr>
                <w:rFonts w:hint="eastAsia" w:ascii="宋体" w:hAnsi="宋体" w:cs="宋体"/>
                <w:szCs w:val="21"/>
              </w:rPr>
            </w:pPr>
            <w:r>
              <w:rPr>
                <w:rFonts w:hint="eastAsia" w:ascii="宋体" w:hAnsi="宋体" w:cs="宋体"/>
                <w:szCs w:val="21"/>
              </w:rPr>
              <w:t>每月</w:t>
            </w:r>
          </w:p>
        </w:tc>
        <w:tc>
          <w:tcPr>
            <w:tcW w:w="1310" w:type="dxa"/>
            <w:vAlign w:val="center"/>
          </w:tcPr>
          <w:p w14:paraId="75BEB7E5">
            <w:pPr>
              <w:widowControl/>
              <w:jc w:val="center"/>
              <w:rPr>
                <w:rFonts w:hint="eastAsia" w:ascii="宋体" w:hAnsi="宋体" w:cs="宋体"/>
                <w:szCs w:val="21"/>
              </w:rPr>
            </w:pPr>
            <w:r>
              <w:rPr>
                <w:rFonts w:hint="eastAsia" w:ascii="宋体" w:hAnsi="宋体" w:cs="宋体"/>
                <w:szCs w:val="21"/>
              </w:rPr>
              <w:t>单项</w:t>
            </w:r>
          </w:p>
        </w:tc>
        <w:tc>
          <w:tcPr>
            <w:tcW w:w="2250" w:type="dxa"/>
            <w:vMerge w:val="continue"/>
            <w:vAlign w:val="center"/>
          </w:tcPr>
          <w:p w14:paraId="30A1CECB">
            <w:pPr>
              <w:widowControl/>
              <w:rPr>
                <w:rFonts w:hint="eastAsia" w:ascii="宋体" w:hAnsi="宋体" w:cs="宋体"/>
                <w:szCs w:val="21"/>
              </w:rPr>
            </w:pPr>
          </w:p>
        </w:tc>
      </w:tr>
      <w:tr w14:paraId="01D65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vAlign w:val="center"/>
          </w:tcPr>
          <w:p w14:paraId="39EFB58C">
            <w:pPr>
              <w:widowControl/>
              <w:jc w:val="center"/>
              <w:rPr>
                <w:rFonts w:hint="eastAsia" w:ascii="宋体" w:hAnsi="宋体" w:cs="宋体"/>
                <w:b/>
                <w:bCs/>
                <w:szCs w:val="21"/>
              </w:rPr>
            </w:pPr>
            <w:r>
              <w:rPr>
                <w:rFonts w:hint="eastAsia" w:ascii="宋体" w:hAnsi="宋体" w:cs="宋体"/>
                <w:b/>
                <w:bCs/>
                <w:szCs w:val="21"/>
              </w:rPr>
              <w:t>社区社会</w:t>
            </w:r>
          </w:p>
        </w:tc>
        <w:tc>
          <w:tcPr>
            <w:tcW w:w="3174" w:type="dxa"/>
            <w:vAlign w:val="center"/>
          </w:tcPr>
          <w:p w14:paraId="3C1491F4">
            <w:pPr>
              <w:widowControl/>
              <w:jc w:val="center"/>
              <w:rPr>
                <w:rFonts w:hint="eastAsia" w:ascii="宋体" w:hAnsi="宋体" w:cs="宋体"/>
                <w:szCs w:val="21"/>
              </w:rPr>
            </w:pPr>
            <w:r>
              <w:rPr>
                <w:rFonts w:hint="eastAsia" w:ascii="宋体" w:hAnsi="宋体" w:cs="宋体"/>
                <w:szCs w:val="21"/>
              </w:rPr>
              <w:t>支持社会公益活动</w:t>
            </w:r>
          </w:p>
        </w:tc>
        <w:tc>
          <w:tcPr>
            <w:tcW w:w="1080" w:type="dxa"/>
            <w:vAlign w:val="center"/>
          </w:tcPr>
          <w:p w14:paraId="7C300C2A">
            <w:pPr>
              <w:widowControl/>
              <w:jc w:val="center"/>
              <w:rPr>
                <w:rFonts w:hint="eastAsia" w:ascii="宋体" w:hAnsi="宋体" w:cs="宋体"/>
                <w:szCs w:val="21"/>
              </w:rPr>
            </w:pPr>
            <w:r>
              <w:rPr>
                <w:rFonts w:hint="eastAsia" w:ascii="宋体" w:hAnsi="宋体" w:cs="宋体"/>
                <w:szCs w:val="21"/>
              </w:rPr>
              <w:t>按计划</w:t>
            </w:r>
          </w:p>
        </w:tc>
        <w:tc>
          <w:tcPr>
            <w:tcW w:w="1310" w:type="dxa"/>
            <w:vAlign w:val="center"/>
          </w:tcPr>
          <w:p w14:paraId="5A4F8EE2">
            <w:pPr>
              <w:widowControl/>
              <w:jc w:val="center"/>
              <w:rPr>
                <w:rFonts w:hint="eastAsia" w:ascii="宋体" w:hAnsi="宋体" w:cs="宋体"/>
                <w:szCs w:val="21"/>
              </w:rPr>
            </w:pPr>
            <w:r>
              <w:rPr>
                <w:rFonts w:hint="eastAsia" w:ascii="宋体" w:hAnsi="宋体" w:cs="宋体"/>
                <w:szCs w:val="21"/>
              </w:rPr>
              <w:t>横向</w:t>
            </w:r>
          </w:p>
        </w:tc>
        <w:tc>
          <w:tcPr>
            <w:tcW w:w="2250" w:type="dxa"/>
            <w:vMerge w:val="restart"/>
            <w:vAlign w:val="center"/>
          </w:tcPr>
          <w:p w14:paraId="39295609">
            <w:pPr>
              <w:widowControl/>
              <w:rPr>
                <w:rFonts w:hint="eastAsia" w:ascii="宋体" w:hAnsi="宋体" w:cs="宋体"/>
                <w:szCs w:val="21"/>
                <w:lang w:eastAsia="zh-CN"/>
              </w:rPr>
            </w:pPr>
            <w:r>
              <w:rPr>
                <w:rFonts w:hint="eastAsia" w:ascii="宋体" w:hAnsi="宋体" w:cs="宋体"/>
                <w:szCs w:val="21"/>
                <w:lang w:eastAsia="zh-CN"/>
              </w:rPr>
              <w:t>环境、公益活动、联谊、文明创建等</w:t>
            </w:r>
          </w:p>
        </w:tc>
      </w:tr>
      <w:tr w14:paraId="7A021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vAlign w:val="center"/>
          </w:tcPr>
          <w:p w14:paraId="1751584A">
            <w:pPr>
              <w:widowControl/>
              <w:rPr>
                <w:rFonts w:hint="eastAsia" w:ascii="宋体" w:hAnsi="宋体" w:cs="宋体"/>
                <w:b/>
                <w:bCs/>
                <w:szCs w:val="21"/>
                <w:lang w:eastAsia="zh-CN"/>
              </w:rPr>
            </w:pPr>
          </w:p>
        </w:tc>
        <w:tc>
          <w:tcPr>
            <w:tcW w:w="3174" w:type="dxa"/>
            <w:vAlign w:val="center"/>
          </w:tcPr>
          <w:p w14:paraId="26B4DF36">
            <w:pPr>
              <w:widowControl/>
              <w:jc w:val="center"/>
              <w:rPr>
                <w:rFonts w:hint="eastAsia" w:ascii="宋体" w:hAnsi="宋体" w:cs="宋体"/>
                <w:szCs w:val="21"/>
              </w:rPr>
            </w:pPr>
            <w:r>
              <w:rPr>
                <w:rFonts w:hint="eastAsia" w:ascii="宋体" w:hAnsi="宋体" w:cs="宋体"/>
                <w:szCs w:val="21"/>
              </w:rPr>
              <w:t>参与社区的活动</w:t>
            </w:r>
          </w:p>
        </w:tc>
        <w:tc>
          <w:tcPr>
            <w:tcW w:w="1080" w:type="dxa"/>
            <w:vAlign w:val="center"/>
          </w:tcPr>
          <w:p w14:paraId="03E3DA4F">
            <w:pPr>
              <w:widowControl/>
              <w:jc w:val="center"/>
              <w:rPr>
                <w:rFonts w:hint="eastAsia" w:ascii="宋体" w:hAnsi="宋体" w:cs="宋体"/>
                <w:szCs w:val="21"/>
              </w:rPr>
            </w:pPr>
            <w:r>
              <w:rPr>
                <w:rFonts w:hint="eastAsia" w:ascii="宋体" w:hAnsi="宋体" w:cs="宋体"/>
                <w:szCs w:val="21"/>
              </w:rPr>
              <w:t>社区安排</w:t>
            </w:r>
          </w:p>
        </w:tc>
        <w:tc>
          <w:tcPr>
            <w:tcW w:w="1310" w:type="dxa"/>
            <w:vAlign w:val="center"/>
          </w:tcPr>
          <w:p w14:paraId="573ACB4F">
            <w:pPr>
              <w:widowControl/>
              <w:jc w:val="center"/>
              <w:rPr>
                <w:rFonts w:hint="eastAsia" w:ascii="宋体" w:hAnsi="宋体" w:cs="宋体"/>
                <w:szCs w:val="21"/>
              </w:rPr>
            </w:pPr>
            <w:r>
              <w:rPr>
                <w:rFonts w:hint="eastAsia" w:ascii="宋体" w:hAnsi="宋体" w:cs="宋体"/>
                <w:szCs w:val="21"/>
              </w:rPr>
              <w:t>横向</w:t>
            </w:r>
          </w:p>
        </w:tc>
        <w:tc>
          <w:tcPr>
            <w:tcW w:w="2250" w:type="dxa"/>
            <w:vMerge w:val="continue"/>
            <w:vAlign w:val="center"/>
          </w:tcPr>
          <w:p w14:paraId="059681E6">
            <w:pPr>
              <w:widowControl/>
              <w:rPr>
                <w:rFonts w:hint="eastAsia" w:ascii="宋体" w:hAnsi="宋体" w:cs="宋体"/>
                <w:szCs w:val="21"/>
              </w:rPr>
            </w:pPr>
          </w:p>
        </w:tc>
      </w:tr>
    </w:tbl>
    <w:p w14:paraId="3CA45970">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公司将开开电缆电缆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14:paraId="0807FB20">
      <w:pPr>
        <w:pStyle w:val="4"/>
        <w:ind w:firstLine="480"/>
        <w:rPr>
          <w:lang w:eastAsia="zh-CN"/>
        </w:rPr>
      </w:pPr>
      <w:bookmarkStart w:id="20" w:name="_Toc17614"/>
      <w:r>
        <w:rPr>
          <w:rFonts w:hint="eastAsia"/>
          <w:lang w:eastAsia="zh-CN"/>
        </w:rPr>
        <w:t>3.3营造诚信守法环境</w:t>
      </w:r>
      <w:bookmarkEnd w:id="20"/>
    </w:p>
    <w:p w14:paraId="3539C182">
      <w:pPr>
        <w:spacing w:line="360" w:lineRule="auto"/>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14:paraId="03C16BA0">
      <w:pPr>
        <w:spacing w:line="360" w:lineRule="auto"/>
        <w:ind w:firstLine="600" w:firstLineChars="250"/>
        <w:jc w:val="both"/>
        <w:rPr>
          <w:rFonts w:hint="eastAsia"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安全生产三级企业”、“省级研发中心”、“战“疫”爱心企业”、“浙江省专精特新中小企业”等荣誉。</w:t>
      </w:r>
    </w:p>
    <w:p w14:paraId="7DF5169F">
      <w:pPr>
        <w:spacing w:line="360" w:lineRule="auto"/>
        <w:jc w:val="both"/>
        <w:rPr>
          <w:rFonts w:ascii="宋体"/>
          <w:sz w:val="24"/>
          <w:szCs w:val="24"/>
          <w:lang w:eastAsia="zh-CN"/>
        </w:rPr>
      </w:pPr>
      <w:r>
        <w:rPr>
          <w:rFonts w:hint="eastAsia" w:ascii="宋体" w:hAnsi="宋体"/>
          <w:sz w:val="24"/>
          <w:szCs w:val="24"/>
          <w:lang w:eastAsia="zh-CN"/>
        </w:rPr>
        <w:t xml:space="preserve"> </w:t>
      </w:r>
      <w:r>
        <w:rPr>
          <w:rFonts w:ascii="宋体" w:hAnsi="宋体"/>
          <w:sz w:val="24"/>
          <w:szCs w:val="24"/>
          <w:lang w:eastAsia="zh-CN"/>
        </w:rPr>
        <w:t xml:space="preserve"> 3.3.2</w:t>
      </w:r>
      <w:r>
        <w:rPr>
          <w:rFonts w:hint="eastAsia" w:ascii="宋体" w:hAnsi="宋体"/>
          <w:sz w:val="24"/>
          <w:szCs w:val="24"/>
          <w:lang w:eastAsia="zh-CN"/>
        </w:rPr>
        <w:t>遵纪守法</w:t>
      </w:r>
    </w:p>
    <w:p w14:paraId="3E71CC7F">
      <w:pPr>
        <w:spacing w:line="360" w:lineRule="auto"/>
        <w:ind w:firstLine="480" w:firstLineChars="200"/>
        <w:jc w:val="both"/>
        <w:rPr>
          <w:rFonts w:hint="eastAsia"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hint="eastAsia" w:ascii="宋体" w:hAnsi="宋体"/>
          <w:sz w:val="24"/>
          <w:szCs w:val="24"/>
          <w:lang w:eastAsia="zh-CN"/>
        </w:rPr>
        <w:t>、总</w:t>
      </w:r>
      <w:r>
        <w:rPr>
          <w:rFonts w:ascii="宋体" w:hAnsi="宋体"/>
          <w:sz w:val="24"/>
          <w:szCs w:val="24"/>
          <w:lang w:eastAsia="zh-CN"/>
        </w:rPr>
        <w:t>经理层贯彻执行法律、行政法规，履行诚信和勤勉的义务等方面做了明确的规定，</w:t>
      </w:r>
      <w:r>
        <w:rPr>
          <w:rFonts w:hint="eastAsia" w:ascii="宋体" w:hAnsi="宋体"/>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14:paraId="2EBEEBFF">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20年就开始逐步导入ISO14001环境管理体系和ISO45001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14:paraId="6D705087">
      <w:pPr>
        <w:spacing w:line="360" w:lineRule="auto"/>
        <w:ind w:firstLine="480" w:firstLineChars="200"/>
        <w:rPr>
          <w:rFonts w:hint="eastAsia" w:ascii="宋体" w:hAnsi="宋体"/>
          <w:sz w:val="24"/>
          <w:szCs w:val="24"/>
          <w:lang w:eastAsia="zh-CN"/>
        </w:rPr>
      </w:pPr>
    </w:p>
    <w:p w14:paraId="08CE4268">
      <w:pPr>
        <w:pStyle w:val="2"/>
        <w:rPr>
          <w:lang w:eastAsia="zh-CN"/>
        </w:rPr>
      </w:pPr>
      <w:bookmarkStart w:id="21" w:name="_Toc16457"/>
      <w:r>
        <w:rPr>
          <w:rFonts w:hint="eastAsia"/>
          <w:spacing w:val="2"/>
          <w:lang w:eastAsia="zh-CN"/>
        </w:rPr>
        <w:t>第四</w:t>
      </w:r>
      <w:r>
        <w:rPr>
          <w:rFonts w:hint="eastAsia"/>
          <w:lang w:eastAsia="zh-CN"/>
        </w:rPr>
        <w:t>章</w:t>
      </w:r>
      <w:r>
        <w:rPr>
          <w:spacing w:val="-20"/>
          <w:lang w:eastAsia="zh-CN"/>
        </w:rPr>
        <w:t xml:space="preserve"> </w:t>
      </w:r>
      <w:r>
        <w:rPr>
          <w:rFonts w:hint="eastAsia"/>
          <w:spacing w:val="2"/>
          <w:lang w:eastAsia="zh-CN"/>
        </w:rPr>
        <w:t>质量基础</w:t>
      </w:r>
      <w:bookmarkEnd w:id="21"/>
    </w:p>
    <w:p w14:paraId="6BD650E4">
      <w:pPr>
        <w:pStyle w:val="4"/>
        <w:ind w:firstLine="482"/>
        <w:rPr>
          <w:rFonts w:ascii="Cambria" w:hAnsi="Cambria" w:cs="Cambria"/>
          <w:b/>
          <w:szCs w:val="24"/>
          <w:lang w:eastAsia="zh-CN"/>
        </w:rPr>
      </w:pPr>
      <w:bookmarkStart w:id="22" w:name="_Toc1062"/>
      <w:r>
        <w:rPr>
          <w:rFonts w:ascii="Cambria" w:hAnsi="Cambria" w:cs="Cambria"/>
          <w:b/>
          <w:szCs w:val="24"/>
          <w:lang w:eastAsia="zh-CN"/>
        </w:rPr>
        <w:t xml:space="preserve">4.1 </w:t>
      </w:r>
      <w:r>
        <w:rPr>
          <w:rFonts w:hint="eastAsia" w:ascii="Cambria" w:hAnsi="Cambria" w:cs="Cambria"/>
          <w:b/>
          <w:szCs w:val="24"/>
          <w:lang w:eastAsia="zh-CN"/>
        </w:rPr>
        <w:t>产品标准</w:t>
      </w:r>
      <w:bookmarkEnd w:id="22"/>
    </w:p>
    <w:p w14:paraId="17EA351D">
      <w:pPr>
        <w:pStyle w:val="7"/>
        <w:spacing w:line="360" w:lineRule="auto"/>
        <w:ind w:left="0" w:firstLine="480" w:firstLineChars="200"/>
        <w:jc w:val="both"/>
        <w:rPr>
          <w:rFonts w:hint="eastAsia"/>
          <w:sz w:val="24"/>
          <w:szCs w:val="24"/>
          <w:lang w:eastAsia="zh-CN"/>
        </w:rPr>
      </w:pPr>
      <w:r>
        <w:rPr>
          <w:rFonts w:hint="eastAsia"/>
          <w:sz w:val="24"/>
          <w:szCs w:val="24"/>
          <w:lang w:eastAsia="zh-CN"/>
        </w:rPr>
        <w:t>公司具有完备的体系文件，按照ISO9001：2015质量管理体系认证等管理体系要求及公司的实际情况，确保与管理活动、资源提供、产品实现和测量有关的过程都进行了有效策划，编制了适宜的文件，以使质量管理体系有效运行。</w:t>
      </w:r>
    </w:p>
    <w:p w14:paraId="0F045DCC">
      <w:pPr>
        <w:pStyle w:val="7"/>
        <w:spacing w:line="360" w:lineRule="auto"/>
        <w:ind w:left="0" w:firstLine="480" w:firstLineChars="200"/>
        <w:jc w:val="both"/>
        <w:rPr>
          <w:rFonts w:hint="eastAsia"/>
          <w:sz w:val="24"/>
          <w:szCs w:val="24"/>
          <w:lang w:eastAsia="zh-CN"/>
        </w:rPr>
      </w:pPr>
      <w:r>
        <w:rPr>
          <w:rFonts w:hint="eastAsia"/>
          <w:sz w:val="24"/>
          <w:szCs w:val="24"/>
          <w:lang w:eastAsia="zh-CN"/>
        </w:rPr>
        <w:t>公司以使命和愿景为己任，不断提高技术创新能力。截止2025年2月，公司共有有效专利44项，其中发明专利9项、实用新型专利35项。</w:t>
      </w:r>
    </w:p>
    <w:p w14:paraId="358F20CB">
      <w:pPr>
        <w:pStyle w:val="7"/>
        <w:spacing w:line="360" w:lineRule="auto"/>
        <w:ind w:left="0" w:firstLine="480" w:firstLineChars="200"/>
        <w:jc w:val="both"/>
        <w:rPr>
          <w:rFonts w:hint="eastAsia"/>
          <w:sz w:val="24"/>
          <w:szCs w:val="24"/>
          <w:lang w:eastAsia="zh-CN"/>
        </w:rPr>
      </w:pPr>
      <w:r>
        <w:rPr>
          <w:rFonts w:hint="eastAsia"/>
          <w:sz w:val="24"/>
          <w:szCs w:val="24"/>
          <w:lang w:eastAsia="zh-CN"/>
        </w:rPr>
        <w:t>我们重视品牌建设，秉承以优异的产品，可靠的质量，周到的售前售后服务，赢得业内普遍赞赏和顾客长期的信赖，产品投放以来，深受国内外客户的好评。</w:t>
      </w:r>
    </w:p>
    <w:p w14:paraId="4EE9E2BD">
      <w:pPr>
        <w:widowControl/>
        <w:spacing w:line="360" w:lineRule="auto"/>
        <w:ind w:firstLine="480"/>
        <w:rPr>
          <w:rFonts w:ascii="Cambria" w:hAnsi="Cambria" w:cs="Cambria"/>
          <w:b/>
          <w:szCs w:val="24"/>
          <w:lang w:eastAsia="zh-CN"/>
        </w:rPr>
      </w:pPr>
      <w:bookmarkStart w:id="23" w:name="_Toc30607"/>
      <w:r>
        <w:rPr>
          <w:rFonts w:ascii="Cambria" w:hAnsi="Cambria" w:cs="Cambria"/>
          <w:b/>
          <w:szCs w:val="24"/>
          <w:lang w:eastAsia="zh-CN"/>
        </w:rPr>
        <w:t xml:space="preserve">4.2 </w:t>
      </w:r>
      <w:r>
        <w:rPr>
          <w:rFonts w:hint="eastAsia" w:ascii="Cambria" w:hAnsi="Cambria" w:cs="Cambria"/>
          <w:b/>
          <w:szCs w:val="24"/>
          <w:lang w:eastAsia="zh-CN"/>
        </w:rPr>
        <w:t>计量水平</w:t>
      </w:r>
      <w:bookmarkEnd w:id="23"/>
    </w:p>
    <w:p w14:paraId="7DAC4213">
      <w:pPr>
        <w:spacing w:line="360" w:lineRule="auto"/>
        <w:ind w:firstLine="480" w:firstLineChars="200"/>
        <w:rPr>
          <w:rFonts w:hint="eastAsia"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w:t>
      </w:r>
      <w:bookmarkStart w:id="24" w:name="_Toc31362"/>
      <w:r>
        <w:rPr>
          <w:rFonts w:hint="eastAsia" w:cs="宋体" w:asciiTheme="minorEastAsia" w:hAnsiTheme="minorEastAsia"/>
          <w:sz w:val="24"/>
          <w:szCs w:val="24"/>
          <w:lang w:eastAsia="zh-CN"/>
        </w:rPr>
        <w:t>按照ISO10012的要求，覆盖从物资采购验收到产品出厂交付的全过程管理，配备了满足生产经营和质量管理要求的应具备门护栏的</w:t>
      </w:r>
      <w:r>
        <w:rPr>
          <w:rFonts w:hint="eastAsia" w:ascii="宋体" w:hAnsi="宋体" w:cs="宋体"/>
          <w:sz w:val="24"/>
          <w:lang w:eastAsia="zh-CN"/>
        </w:rPr>
        <w:t>测厚仪、老化试验箱、换气老化试验箱、恒温水浴、电子万能试验机、数显式拉力试验机</w:t>
      </w:r>
      <w:r>
        <w:rPr>
          <w:rFonts w:hint="eastAsia" w:cs="宋体" w:asciiTheme="minorEastAsia" w:hAnsiTheme="minorEastAsia"/>
          <w:sz w:val="24"/>
          <w:szCs w:val="24"/>
          <w:lang w:eastAsia="zh-CN"/>
        </w:rPr>
        <w:t>等理化指标的检验能力及设备，保证了计量检测结果准确。</w:t>
      </w:r>
    </w:p>
    <w:p w14:paraId="546FD5CD">
      <w:pPr>
        <w:pStyle w:val="4"/>
        <w:ind w:firstLine="482"/>
        <w:rPr>
          <w:rFonts w:ascii="Cambria" w:hAnsi="Cambria" w:cs="Cambria"/>
          <w:b/>
          <w:szCs w:val="24"/>
          <w:lang w:eastAsia="zh-CN"/>
        </w:rPr>
      </w:pPr>
      <w:r>
        <w:rPr>
          <w:rFonts w:ascii="Cambria" w:hAnsi="Cambria" w:cs="Cambria"/>
          <w:b/>
          <w:szCs w:val="24"/>
          <w:lang w:eastAsia="zh-CN"/>
        </w:rPr>
        <w:t xml:space="preserve">4.3 </w:t>
      </w:r>
      <w:r>
        <w:rPr>
          <w:rFonts w:hint="eastAsia" w:ascii="Cambria" w:hAnsi="Cambria" w:cs="Cambria"/>
          <w:b/>
          <w:szCs w:val="24"/>
          <w:lang w:eastAsia="zh-CN"/>
        </w:rPr>
        <w:t>认证认可情况</w:t>
      </w:r>
      <w:bookmarkEnd w:id="24"/>
    </w:p>
    <w:p w14:paraId="3A8B0002">
      <w:pPr>
        <w:spacing w:line="360" w:lineRule="auto"/>
        <w:ind w:firstLine="480" w:firstLineChars="200"/>
        <w:rPr>
          <w:rFonts w:hint="eastAsia" w:ascii="宋体" w:hAnsi="宋体"/>
          <w:b/>
          <w:sz w:val="24"/>
          <w:szCs w:val="24"/>
          <w:lang w:eastAsia="zh-CN"/>
        </w:rPr>
      </w:pPr>
      <w:r>
        <w:rPr>
          <w:rFonts w:hint="eastAsia"/>
          <w:sz w:val="24"/>
          <w:szCs w:val="26"/>
          <w:lang w:eastAsia="zh-CN"/>
        </w:rPr>
        <w:t xml:space="preserve">     </w:t>
      </w:r>
      <w:r>
        <w:rPr>
          <w:rFonts w:hint="eastAsia" w:cs="宋体" w:asciiTheme="minorEastAsia" w:hAnsiTheme="minorEastAsia"/>
          <w:sz w:val="24"/>
          <w:szCs w:val="24"/>
          <w:lang w:eastAsia="zh-CN"/>
        </w:rPr>
        <w:t>公</w:t>
      </w:r>
      <w:r>
        <w:rPr>
          <w:rFonts w:hint="eastAsia" w:cs="宋体" w:asciiTheme="minorEastAsia" w:hAnsiTheme="minorEastAsia"/>
          <w:sz w:val="24"/>
          <w:szCs w:val="24"/>
          <w:highlight w:val="none"/>
          <w:lang w:eastAsia="zh-CN"/>
        </w:rPr>
        <w:t>司先后导入了ISO9001、ISO14001、ISO45001、3C证书等四大管理体系认</w:t>
      </w:r>
      <w:r>
        <w:rPr>
          <w:rFonts w:hint="eastAsia" w:cs="宋体" w:asciiTheme="minorEastAsia" w:hAnsiTheme="minorEastAsia"/>
          <w:sz w:val="24"/>
          <w:szCs w:val="24"/>
          <w:lang w:eastAsia="zh-CN"/>
        </w:rPr>
        <w:t>证。</w:t>
      </w:r>
      <w:r>
        <w:rPr>
          <w:rFonts w:hint="eastAsia"/>
          <w:b/>
          <w:bCs/>
          <w:sz w:val="28"/>
          <w:szCs w:val="28"/>
          <w:lang w:eastAsia="zh-CN"/>
        </w:rPr>
        <w:t xml:space="preserve">    </w:t>
      </w:r>
    </w:p>
    <w:p w14:paraId="018C2452">
      <w:pPr>
        <w:pStyle w:val="4"/>
        <w:ind w:firstLine="441" w:firstLineChars="183"/>
        <w:rPr>
          <w:rFonts w:ascii="Cambria" w:hAnsi="Cambria" w:cs="Cambria"/>
          <w:b/>
          <w:szCs w:val="24"/>
          <w:lang w:eastAsia="zh-CN"/>
        </w:rPr>
      </w:pPr>
      <w:bookmarkStart w:id="25" w:name="_Toc19344"/>
      <w:r>
        <w:rPr>
          <w:rFonts w:ascii="Cambria" w:hAnsi="Cambria" w:cs="Cambria"/>
          <w:b/>
          <w:szCs w:val="24"/>
          <w:lang w:eastAsia="zh-CN"/>
        </w:rPr>
        <w:t xml:space="preserve">4.4 </w:t>
      </w:r>
      <w:r>
        <w:rPr>
          <w:rFonts w:hint="eastAsia" w:ascii="Cambria" w:hAnsi="Cambria" w:cs="Cambria"/>
          <w:b/>
          <w:szCs w:val="24"/>
          <w:lang w:eastAsia="zh-CN"/>
        </w:rPr>
        <w:t>特种设备安全管理</w:t>
      </w:r>
      <w:bookmarkEnd w:id="25"/>
      <w:r>
        <w:rPr>
          <w:rFonts w:ascii="Cambria" w:hAnsi="Cambria" w:cs="Cambria"/>
          <w:b/>
          <w:szCs w:val="24"/>
          <w:lang w:eastAsia="zh-CN"/>
        </w:rPr>
        <w:t xml:space="preserve"> </w:t>
      </w:r>
    </w:p>
    <w:p w14:paraId="785A1E39">
      <w:pPr>
        <w:pStyle w:val="7"/>
        <w:spacing w:line="360" w:lineRule="auto"/>
        <w:ind w:left="0" w:right="47" w:firstLine="488" w:firstLineChars="200"/>
        <w:jc w:val="both"/>
        <w:rPr>
          <w:rFonts w:hint="eastAsia"/>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14:paraId="34467901">
      <w:pPr>
        <w:pStyle w:val="7"/>
        <w:spacing w:line="360" w:lineRule="auto"/>
        <w:ind w:left="0" w:firstLine="488" w:firstLineChars="200"/>
        <w:jc w:val="both"/>
        <w:rPr>
          <w:rFonts w:hint="eastAsia"/>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14:paraId="0E9CE9F7">
      <w:pPr>
        <w:pStyle w:val="7"/>
        <w:spacing w:line="360" w:lineRule="auto"/>
        <w:ind w:left="0" w:firstLine="488" w:firstLineChars="200"/>
        <w:jc w:val="both"/>
        <w:rPr>
          <w:rFonts w:hint="eastAsia"/>
          <w:spacing w:val="2"/>
          <w:sz w:val="24"/>
          <w:lang w:eastAsia="zh-CN"/>
        </w:rPr>
      </w:pPr>
    </w:p>
    <w:p w14:paraId="34C870F6">
      <w:pPr>
        <w:pStyle w:val="2"/>
        <w:rPr>
          <w:lang w:eastAsia="zh-CN"/>
        </w:rPr>
      </w:pPr>
      <w:bookmarkStart w:id="26" w:name="_Toc13921"/>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6"/>
    </w:p>
    <w:p w14:paraId="08A26B1B">
      <w:pPr>
        <w:pStyle w:val="4"/>
        <w:ind w:firstLine="482"/>
        <w:rPr>
          <w:rFonts w:ascii="Cambria" w:hAnsi="Cambria" w:cs="Cambria"/>
          <w:b/>
          <w:szCs w:val="24"/>
          <w:lang w:eastAsia="zh-CN"/>
        </w:rPr>
      </w:pPr>
      <w:bookmarkStart w:id="27" w:name="_Toc22767"/>
      <w:r>
        <w:rPr>
          <w:rFonts w:ascii="Cambria" w:hAnsi="Cambria" w:cs="Cambria"/>
          <w:b/>
          <w:szCs w:val="24"/>
          <w:lang w:eastAsia="zh-CN"/>
        </w:rPr>
        <w:t xml:space="preserve">5.1 </w:t>
      </w:r>
      <w:r>
        <w:rPr>
          <w:rFonts w:hint="eastAsia" w:ascii="Cambria" w:hAnsi="Cambria" w:cs="Cambria"/>
          <w:b/>
          <w:szCs w:val="24"/>
          <w:lang w:eastAsia="zh-CN"/>
        </w:rPr>
        <w:t>产品质量承诺</w:t>
      </w:r>
      <w:bookmarkEnd w:id="27"/>
    </w:p>
    <w:p w14:paraId="59F3A733">
      <w:pPr>
        <w:pStyle w:val="7"/>
        <w:spacing w:line="360" w:lineRule="auto"/>
        <w:ind w:left="0"/>
        <w:rPr>
          <w:rFonts w:hint="eastAsia"/>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14:paraId="736238CC">
      <w:pPr>
        <w:pStyle w:val="7"/>
        <w:spacing w:line="360" w:lineRule="auto"/>
        <w:ind w:left="0"/>
        <w:rPr>
          <w:rFonts w:hint="eastAsia"/>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14:paraId="1A29F22F">
      <w:pPr>
        <w:pStyle w:val="7"/>
        <w:spacing w:before="41" w:line="360" w:lineRule="auto"/>
        <w:ind w:left="121" w:leftChars="55" w:right="491" w:firstLine="624" w:firstLineChars="256"/>
        <w:rPr>
          <w:rFonts w:hint="eastAsia"/>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14:paraId="563CA327">
      <w:pPr>
        <w:pStyle w:val="7"/>
        <w:spacing w:line="360" w:lineRule="auto"/>
        <w:ind w:left="288" w:leftChars="131" w:firstLine="478" w:firstLineChars="196"/>
        <w:rPr>
          <w:rFonts w:hint="eastAsia"/>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14:paraId="6F4C0434">
      <w:pPr>
        <w:pStyle w:val="7"/>
        <w:spacing w:before="44" w:line="360" w:lineRule="auto"/>
        <w:ind w:left="680" w:leftChars="309" w:firstLine="119" w:firstLineChars="49"/>
        <w:rPr>
          <w:rFonts w:hint="eastAsia"/>
          <w:spacing w:val="2"/>
          <w:sz w:val="24"/>
          <w:szCs w:val="24"/>
          <w:lang w:eastAsia="zh-CN"/>
        </w:rPr>
      </w:pPr>
      <w:r>
        <w:rPr>
          <w:rFonts w:hint="eastAsia"/>
          <w:spacing w:val="2"/>
          <w:sz w:val="24"/>
          <w:szCs w:val="24"/>
          <w:lang w:eastAsia="zh-CN"/>
        </w:rPr>
        <w:t>5、本企业以“零缺陷”为目标，确保不合规格产品不出厂。</w:t>
      </w:r>
    </w:p>
    <w:p w14:paraId="524A3474">
      <w:pPr>
        <w:pStyle w:val="4"/>
        <w:ind w:firstLine="482"/>
        <w:rPr>
          <w:rFonts w:ascii="Cambria" w:hAnsi="Cambria" w:cs="Cambria"/>
          <w:b/>
          <w:szCs w:val="24"/>
          <w:lang w:eastAsia="zh-CN"/>
        </w:rPr>
      </w:pPr>
      <w:bookmarkStart w:id="28" w:name="_Toc4467"/>
      <w:r>
        <w:rPr>
          <w:rFonts w:hint="eastAsia" w:ascii="Cambria" w:hAnsi="Cambria" w:cs="Cambria"/>
          <w:b/>
          <w:szCs w:val="24"/>
          <w:lang w:eastAsia="zh-CN"/>
        </w:rPr>
        <w:t>5.2 产品荣誉情况</w:t>
      </w:r>
      <w:bookmarkEnd w:id="28"/>
      <w:r>
        <w:rPr>
          <w:rFonts w:hint="eastAsia" w:ascii="Cambria" w:hAnsi="Cambria" w:cs="Cambria"/>
          <w:b/>
          <w:szCs w:val="24"/>
          <w:lang w:eastAsia="zh-CN"/>
        </w:rPr>
        <w:t xml:space="preserve"> </w:t>
      </w:r>
    </w:p>
    <w:p w14:paraId="03CB1FD5">
      <w:pPr>
        <w:pStyle w:val="5"/>
        <w:spacing w:line="360" w:lineRule="auto"/>
        <w:ind w:left="0" w:firstLine="488" w:firstLineChars="200"/>
        <w:rPr>
          <w:rFonts w:hint="eastAsia" w:ascii="宋体" w:hAnsi="宋体" w:eastAsia="宋体"/>
          <w:spacing w:val="2"/>
          <w:szCs w:val="26"/>
          <w:lang w:eastAsia="zh-CN"/>
        </w:rPr>
      </w:pPr>
      <w:r>
        <w:rPr>
          <w:rFonts w:hint="eastAsia" w:ascii="宋体" w:hAnsi="宋体" w:eastAsia="宋体"/>
          <w:spacing w:val="2"/>
          <w:szCs w:val="26"/>
          <w:lang w:eastAsia="zh-CN"/>
        </w:rPr>
        <w:t>公司按照“守法经营，依法纳税”的经营基本原则，严格遵守《公司法》、《安全生产法》等各项法律法规要求，形成良好的遵德行为规范环境。公司凭借一流的品质，卓越的信誉，完善的服务赢得了消费者的信赖和欢迎，企业</w:t>
      </w:r>
      <w:r>
        <w:rPr>
          <w:rFonts w:hint="eastAsia" w:ascii="宋体" w:hAnsi="宋体"/>
          <w:szCs w:val="24"/>
          <w:lang w:eastAsia="zh-CN"/>
        </w:rPr>
        <w:t>获得</w:t>
      </w:r>
      <w:r>
        <w:rPr>
          <w:rFonts w:hint="eastAsia" w:asciiTheme="minorEastAsia" w:hAnsiTheme="minorEastAsia" w:eastAsiaTheme="minorEastAsia"/>
          <w:szCs w:val="24"/>
          <w:lang w:eastAsia="zh-CN"/>
        </w:rPr>
        <w:t>：”安全生产三级企业”、“省级研发中心”、“战“疫”爱心企业”、“浙江省专精特新中小企业”</w:t>
      </w:r>
      <w:r>
        <w:rPr>
          <w:rFonts w:hint="eastAsia" w:ascii="宋体" w:hAnsi="宋体"/>
          <w:szCs w:val="24"/>
          <w:lang w:eastAsia="zh-CN"/>
        </w:rPr>
        <w:t>等荣誉</w:t>
      </w:r>
      <w:r>
        <w:rPr>
          <w:rFonts w:hint="eastAsia" w:ascii="宋体" w:hAnsi="宋体" w:eastAsia="宋体"/>
          <w:spacing w:val="2"/>
          <w:szCs w:val="26"/>
          <w:lang w:eastAsia="zh-CN"/>
        </w:rPr>
        <w:t>。</w:t>
      </w:r>
    </w:p>
    <w:p w14:paraId="2290F21E">
      <w:pPr>
        <w:pStyle w:val="5"/>
        <w:spacing w:line="360" w:lineRule="auto"/>
        <w:ind w:left="0" w:firstLine="488" w:firstLineChars="200"/>
        <w:rPr>
          <w:rFonts w:hint="eastAsia" w:ascii="宋体" w:hAnsi="宋体" w:eastAsia="宋体"/>
          <w:spacing w:val="2"/>
          <w:szCs w:val="26"/>
          <w:lang w:eastAsia="zh-CN"/>
        </w:rPr>
      </w:pPr>
    </w:p>
    <w:p w14:paraId="2DA5242B">
      <w:pPr>
        <w:spacing w:line="360" w:lineRule="auto"/>
        <w:ind w:firstLine="720" w:firstLineChars="300"/>
        <w:rPr>
          <w:rFonts w:hint="eastAsia" w:ascii="宋体" w:hAnsi="宋体"/>
          <w:sz w:val="24"/>
          <w:szCs w:val="24"/>
          <w:lang w:eastAsia="zh-CN"/>
        </w:rPr>
      </w:pPr>
      <w:bookmarkStart w:id="35" w:name="_GoBack"/>
    </w:p>
    <w:p w14:paraId="69128B85">
      <w:pPr>
        <w:pStyle w:val="5"/>
        <w:rPr>
          <w:rFonts w:eastAsiaTheme="minorEastAsia"/>
          <w:lang w:eastAsia="zh-CN"/>
        </w:rPr>
      </w:pPr>
    </w:p>
    <w:bookmarkEnd w:id="35"/>
    <w:p w14:paraId="33695319">
      <w:pPr>
        <w:spacing w:line="360" w:lineRule="auto"/>
        <w:ind w:firstLine="672" w:firstLineChars="300"/>
        <w:jc w:val="center"/>
        <w:rPr>
          <w:spacing w:val="2"/>
          <w:lang w:eastAsia="zh-CN"/>
        </w:rPr>
      </w:pPr>
    </w:p>
    <w:p w14:paraId="6AA5B8E0">
      <w:pPr>
        <w:pStyle w:val="2"/>
        <w:rPr>
          <w:lang w:eastAsia="zh-CN"/>
        </w:rPr>
      </w:pPr>
      <w:bookmarkStart w:id="29" w:name="_Toc27596"/>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29"/>
    </w:p>
    <w:p w14:paraId="72B25E8F">
      <w:pPr>
        <w:spacing w:before="6" w:line="360" w:lineRule="auto"/>
        <w:rPr>
          <w:color w:val="FF0000"/>
          <w:sz w:val="13"/>
          <w:szCs w:val="13"/>
          <w:lang w:eastAsia="zh-CN"/>
        </w:rPr>
      </w:pPr>
    </w:p>
    <w:p w14:paraId="3FE29773">
      <w:pPr>
        <w:pStyle w:val="4"/>
        <w:ind w:firstLine="482"/>
        <w:rPr>
          <w:rFonts w:ascii="Cambria" w:hAnsi="Cambria" w:cs="Cambria"/>
          <w:b/>
          <w:szCs w:val="24"/>
          <w:lang w:eastAsia="zh-CN"/>
        </w:rPr>
      </w:pPr>
      <w:bookmarkStart w:id="30" w:name="_Toc25538"/>
      <w:r>
        <w:rPr>
          <w:rFonts w:hint="eastAsia" w:ascii="Cambria" w:hAnsi="Cambria" w:cs="Cambria"/>
          <w:b/>
          <w:szCs w:val="24"/>
          <w:lang w:eastAsia="zh-CN"/>
        </w:rPr>
        <w:t>6.1 质量投诉</w:t>
      </w:r>
      <w:bookmarkEnd w:id="30"/>
    </w:p>
    <w:p w14:paraId="72D8E839">
      <w:pPr>
        <w:pStyle w:val="31"/>
        <w:spacing w:line="360" w:lineRule="auto"/>
        <w:ind w:firstLine="480"/>
        <w:rPr>
          <w:rFonts w:hint="eastAsia" w:ascii="宋体" w:hAnsi="宋体"/>
          <w:color w:val="auto"/>
        </w:rPr>
      </w:pPr>
      <w:r>
        <w:rPr>
          <w:rFonts w:hint="eastAsia" w:ascii="宋体" w:hAnsi="宋体"/>
          <w:color w:val="auto"/>
        </w:rPr>
        <w:t>顾客有投诉时，</w:t>
      </w:r>
      <w:r>
        <w:rPr>
          <w:rFonts w:hint="eastAsia" w:ascii="宋体" w:hAnsi="宋体"/>
          <w:color w:val="auto"/>
          <w:lang w:eastAsia="zh-CN"/>
        </w:rPr>
        <w:t>市场部商务部</w:t>
      </w:r>
      <w:r>
        <w:rPr>
          <w:rFonts w:hint="eastAsia" w:ascii="宋体" w:hAnsi="宋体"/>
          <w:color w:val="auto"/>
        </w:rPr>
        <w:t>门人员应及时、准确、完整地掌握顾客投诉信息并与顾客协商解决方案，同时向本部门负责人以及</w:t>
      </w:r>
      <w:r>
        <w:rPr>
          <w:rFonts w:hint="eastAsia" w:ascii="宋体" w:hAnsi="宋体"/>
          <w:color w:val="auto"/>
          <w:lang w:eastAsia="zh-CN"/>
        </w:rPr>
        <w:t>质量管理部</w:t>
      </w:r>
      <w:r>
        <w:rPr>
          <w:rFonts w:hint="eastAsia" w:ascii="宋体" w:hAnsi="宋体"/>
          <w:color w:val="auto"/>
        </w:rPr>
        <w:t>、生产部和物流部负责人反映；</w:t>
      </w:r>
      <w:r>
        <w:rPr>
          <w:rFonts w:hint="eastAsia" w:ascii="宋体" w:hAnsi="宋体"/>
          <w:color w:val="auto"/>
          <w:lang w:eastAsia="zh-CN"/>
        </w:rPr>
        <w:t>市场部商务部</w:t>
      </w:r>
      <w:r>
        <w:rPr>
          <w:rFonts w:hint="eastAsia" w:ascii="宋体" w:hAnsi="宋体"/>
          <w:color w:val="auto"/>
        </w:rPr>
        <w:t>门负责人应对投诉情况提出初步处理意见然后报请事业部总经理核准，接着将核准后的处理意见反馈给</w:t>
      </w:r>
      <w:r>
        <w:rPr>
          <w:rFonts w:hint="eastAsia" w:ascii="宋体" w:hAnsi="宋体"/>
          <w:color w:val="auto"/>
          <w:lang w:eastAsia="zh-CN"/>
        </w:rPr>
        <w:t>市场部商务部</w:t>
      </w:r>
      <w:r>
        <w:rPr>
          <w:rFonts w:hint="eastAsia" w:ascii="宋体" w:hAnsi="宋体"/>
          <w:color w:val="auto"/>
        </w:rPr>
        <w:t>门人员；</w:t>
      </w:r>
      <w:r>
        <w:rPr>
          <w:rFonts w:hint="eastAsia" w:ascii="宋体" w:hAnsi="宋体"/>
          <w:color w:val="auto"/>
          <w:lang w:eastAsia="zh-CN"/>
        </w:rPr>
        <w:t>市场部商务部</w:t>
      </w:r>
      <w:r>
        <w:rPr>
          <w:rFonts w:hint="eastAsia" w:ascii="宋体" w:hAnsi="宋体"/>
          <w:color w:val="auto"/>
        </w:rPr>
        <w:t>门人员应立即向顾客通报处理意见，涉及退换货的可立即着手安排。</w:t>
      </w:r>
      <w:r>
        <w:rPr>
          <w:rFonts w:hint="eastAsia" w:ascii="宋体" w:hAnsi="宋体"/>
          <w:color w:val="auto"/>
          <w:lang w:eastAsia="zh-CN"/>
        </w:rPr>
        <w:t>市场部商务部</w:t>
      </w:r>
      <w:r>
        <w:rPr>
          <w:rFonts w:hint="eastAsia" w:ascii="宋体" w:hAnsi="宋体"/>
          <w:color w:val="auto"/>
        </w:rPr>
        <w:t>门负责人决定是否需到现场处理顾客投诉，还可要求</w:t>
      </w:r>
      <w:r>
        <w:rPr>
          <w:rFonts w:hint="eastAsia" w:ascii="宋体" w:hAnsi="宋体"/>
          <w:color w:val="auto"/>
          <w:lang w:eastAsia="zh-CN"/>
        </w:rPr>
        <w:t>质量管理部</w:t>
      </w:r>
      <w:r>
        <w:rPr>
          <w:rFonts w:hint="eastAsia" w:ascii="宋体" w:hAnsi="宋体"/>
          <w:color w:val="auto"/>
        </w:rPr>
        <w:t>等部门派技术人员一同前往现场处理顾客投诉。</w:t>
      </w:r>
    </w:p>
    <w:p w14:paraId="0651BD8F">
      <w:pPr>
        <w:pStyle w:val="31"/>
        <w:spacing w:line="360" w:lineRule="auto"/>
        <w:ind w:firstLine="480"/>
        <w:rPr>
          <w:rFonts w:hint="eastAsia" w:ascii="宋体" w:hAnsi="宋体"/>
          <w:color w:val="auto"/>
        </w:rPr>
      </w:pPr>
      <w:r>
        <w:rPr>
          <w:rFonts w:hint="eastAsia" w:ascii="宋体" w:hAnsi="宋体"/>
          <w:color w:val="auto"/>
        </w:rPr>
        <w:t>与此同时，</w:t>
      </w:r>
      <w:r>
        <w:rPr>
          <w:rFonts w:hint="eastAsia" w:ascii="宋体" w:hAnsi="宋体"/>
          <w:color w:val="auto"/>
          <w:lang w:eastAsia="zh-CN"/>
        </w:rPr>
        <w:t>市场部商务部</w:t>
      </w:r>
      <w:r>
        <w:rPr>
          <w:rFonts w:hint="eastAsia" w:ascii="宋体" w:hAnsi="宋体"/>
          <w:color w:val="auto"/>
        </w:rPr>
        <w:t>门人员应草拟</w:t>
      </w:r>
      <w:r>
        <w:rPr>
          <w:rFonts w:hint="eastAsia" w:ascii="宋体" w:hAnsi="宋体"/>
          <w:color w:val="auto"/>
          <w:lang w:eastAsia="zh-CN"/>
        </w:rPr>
        <w:t>ERP</w:t>
      </w:r>
      <w:r>
        <w:rPr>
          <w:rFonts w:hint="eastAsia" w:ascii="宋体" w:hAnsi="宋体"/>
          <w:color w:val="auto"/>
        </w:rPr>
        <w:t>销售退货单（选择调换货、不退款、退款），启动退回处理流程。</w:t>
      </w:r>
      <w:r>
        <w:rPr>
          <w:rFonts w:hint="eastAsia" w:ascii="宋体" w:hAnsi="宋体"/>
          <w:color w:val="auto"/>
          <w:lang w:eastAsia="zh-CN"/>
        </w:rPr>
        <w:t>市场部商务部</w:t>
      </w:r>
      <w:r>
        <w:rPr>
          <w:rFonts w:hint="eastAsia" w:ascii="宋体" w:hAnsi="宋体"/>
          <w:color w:val="auto"/>
        </w:rPr>
        <w:t>门负责人录入初步处理意见。事业部总经理录入最终处理意见。</w:t>
      </w:r>
      <w:r>
        <w:rPr>
          <w:rFonts w:hint="eastAsia" w:ascii="宋体" w:hAnsi="宋体"/>
          <w:color w:val="auto"/>
          <w:lang w:eastAsia="zh-CN"/>
        </w:rPr>
        <w:t>质量管理部</w:t>
      </w:r>
      <w:r>
        <w:rPr>
          <w:rFonts w:hint="eastAsia" w:ascii="宋体" w:hAnsi="宋体"/>
          <w:color w:val="auto"/>
        </w:rPr>
        <w:t>负责人对投诉进行调查处理，并提交调查报告。</w:t>
      </w:r>
    </w:p>
    <w:p w14:paraId="08E1CB54">
      <w:pPr>
        <w:pStyle w:val="31"/>
        <w:spacing w:line="360" w:lineRule="auto"/>
        <w:ind w:firstLine="480"/>
        <w:rPr>
          <w:rFonts w:hint="eastAsia" w:ascii="宋体" w:hAnsi="宋体"/>
          <w:color w:val="auto"/>
        </w:rPr>
      </w:pPr>
      <w:r>
        <w:rPr>
          <w:rFonts w:hint="eastAsia" w:ascii="宋体" w:hAnsi="宋体"/>
          <w:color w:val="auto"/>
        </w:rPr>
        <w:t>顾客要求时，</w:t>
      </w:r>
      <w:r>
        <w:rPr>
          <w:rFonts w:hint="eastAsia" w:ascii="宋体" w:hAnsi="宋体"/>
          <w:color w:val="auto"/>
          <w:lang w:eastAsia="zh-CN"/>
        </w:rPr>
        <w:t>市场部商务部</w:t>
      </w:r>
      <w:r>
        <w:rPr>
          <w:rFonts w:hint="eastAsia" w:ascii="宋体" w:hAnsi="宋体"/>
          <w:color w:val="auto"/>
        </w:rPr>
        <w:t>门人员负责起草对顾客反馈或投诉的正式回复意见，并报本部门负责人批准（需要时报请总经理批准）然后提交顾客。</w:t>
      </w:r>
    </w:p>
    <w:p w14:paraId="594207B7">
      <w:pPr>
        <w:pStyle w:val="31"/>
        <w:spacing w:line="360" w:lineRule="auto"/>
        <w:ind w:firstLine="480"/>
        <w:rPr>
          <w:rFonts w:hint="eastAsia" w:ascii="宋体" w:hAnsi="宋体"/>
          <w:color w:val="auto"/>
        </w:rPr>
      </w:pPr>
      <w:r>
        <w:rPr>
          <w:rFonts w:hint="eastAsia" w:ascii="宋体" w:hAnsi="宋体"/>
          <w:color w:val="auto"/>
          <w:lang w:eastAsia="zh-CN"/>
        </w:rPr>
        <w:t>市场部商务部</w:t>
      </w:r>
      <w:r>
        <w:rPr>
          <w:rFonts w:hint="eastAsia" w:ascii="宋体" w:hAnsi="宋体"/>
          <w:color w:val="auto"/>
        </w:rPr>
        <w:t>门人员对顾客进一步跟踪，确保中间体事业部对顾客投诉的处理意见能让该顾客满意。</w:t>
      </w:r>
      <w:r>
        <w:rPr>
          <w:rFonts w:hint="eastAsia" w:ascii="宋体" w:hAnsi="宋体"/>
          <w:color w:val="auto"/>
          <w:lang w:eastAsia="zh-CN"/>
        </w:rPr>
        <w:t>质量管理部</w:t>
      </w:r>
      <w:r>
        <w:rPr>
          <w:rFonts w:hint="eastAsia" w:ascii="宋体" w:hAnsi="宋体"/>
          <w:color w:val="auto"/>
        </w:rPr>
        <w:t>将顾客投诉处理情况列入当月质量考核；若需要采取纠正措施，</w:t>
      </w:r>
      <w:r>
        <w:rPr>
          <w:rFonts w:hint="eastAsia" w:ascii="宋体" w:hAnsi="宋体"/>
          <w:color w:val="auto"/>
          <w:lang w:eastAsia="zh-CN"/>
        </w:rPr>
        <w:t>质量管理部</w:t>
      </w:r>
      <w:r>
        <w:rPr>
          <w:rFonts w:hint="eastAsia" w:ascii="宋体" w:hAnsi="宋体"/>
          <w:color w:val="auto"/>
        </w:rPr>
        <w:t>应监督责任部门限期完成。</w:t>
      </w:r>
    </w:p>
    <w:p w14:paraId="552EEC25">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具体舍后服务流程见下图所示：</w:t>
      </w:r>
    </w:p>
    <w:p w14:paraId="04261A2B">
      <w:pPr>
        <w:spacing w:line="360" w:lineRule="auto"/>
        <w:ind w:firstLine="422" w:firstLineChars="200"/>
        <w:jc w:val="center"/>
        <w:rPr>
          <w:rFonts w:hint="eastAsia" w:ascii="宋体" w:hAnsi="宋体"/>
          <w:b/>
          <w:sz w:val="21"/>
          <w:szCs w:val="21"/>
          <w:lang w:eastAsia="zh-CN"/>
        </w:rPr>
      </w:pPr>
      <w:r>
        <w:rPr>
          <w:rFonts w:hint="eastAsia" w:ascii="宋体" w:hAnsi="宋体"/>
          <w:b/>
          <w:sz w:val="21"/>
          <w:szCs w:val="21"/>
          <w:lang w:eastAsia="zh-CN"/>
        </w:rPr>
        <w:t>图6.1-01售后服务流程</w:t>
      </w:r>
    </w:p>
    <w:p w14:paraId="44C6851D">
      <w:pPr>
        <w:spacing w:line="360" w:lineRule="auto"/>
        <w:jc w:val="center"/>
        <w:rPr>
          <w:rFonts w:hint="eastAsia" w:ascii="宋体" w:hAnsi="宋体"/>
          <w:sz w:val="24"/>
          <w:szCs w:val="24"/>
          <w:lang w:eastAsia="zh-CN"/>
        </w:rPr>
      </w:pPr>
      <w:r>
        <w:rPr>
          <w:rFonts w:ascii="宋体" w:hAnsi="宋体"/>
          <w:sz w:val="24"/>
          <w:szCs w:val="24"/>
          <w:lang w:eastAsia="zh-CN"/>
        </w:rPr>
        <w:drawing>
          <wp:inline distT="0" distB="0" distL="0" distR="0">
            <wp:extent cx="4980940" cy="2809875"/>
            <wp:effectExtent l="19050" t="19050" r="9958" b="28575"/>
            <wp:docPr id="228" name="图片 12" descr="C:\Users\fxe\AppData\Local\Temp\1555491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2" descr="C:\Users\fxe\AppData\Local\Temp\1555491029(1).png"/>
                    <pic:cNvPicPr>
                      <a:picLocks noChangeAspect="1" noChangeArrowheads="1"/>
                    </pic:cNvPicPr>
                  </pic:nvPicPr>
                  <pic:blipFill>
                    <a:blip r:embed="rId13"/>
                    <a:srcRect/>
                    <a:stretch>
                      <a:fillRect/>
                    </a:stretch>
                  </pic:blipFill>
                  <pic:spPr>
                    <a:xfrm>
                      <a:off x="0" y="0"/>
                      <a:ext cx="4981142" cy="2809875"/>
                    </a:xfrm>
                    <a:prstGeom prst="rect">
                      <a:avLst/>
                    </a:prstGeom>
                    <a:noFill/>
                    <a:ln w="9525">
                      <a:solidFill>
                        <a:srgbClr val="FFC000"/>
                      </a:solidFill>
                      <a:miter lim="800000"/>
                      <a:headEnd/>
                      <a:tailEnd/>
                    </a:ln>
                  </pic:spPr>
                </pic:pic>
              </a:graphicData>
            </a:graphic>
          </wp:inline>
        </w:drawing>
      </w:r>
    </w:p>
    <w:p w14:paraId="0EED8ACC">
      <w:pPr>
        <w:pStyle w:val="4"/>
        <w:ind w:firstLine="482"/>
        <w:rPr>
          <w:rFonts w:ascii="Cambria" w:hAnsi="Cambria" w:cs="Cambria"/>
          <w:b/>
          <w:szCs w:val="24"/>
          <w:lang w:eastAsia="zh-CN"/>
        </w:rPr>
      </w:pPr>
      <w:bookmarkStart w:id="31" w:name="_Toc28364"/>
      <w:r>
        <w:rPr>
          <w:rFonts w:hint="eastAsia" w:ascii="Cambria" w:hAnsi="Cambria" w:cs="Cambria"/>
          <w:b/>
          <w:szCs w:val="24"/>
          <w:lang w:eastAsia="zh-CN"/>
        </w:rPr>
        <w:t>6.2 质量风险监测</w:t>
      </w:r>
      <w:bookmarkEnd w:id="31"/>
    </w:p>
    <w:p w14:paraId="49F25EBE">
      <w:pPr>
        <w:pStyle w:val="7"/>
        <w:spacing w:line="360" w:lineRule="auto"/>
        <w:ind w:left="0" w:right="376" w:rightChars="171" w:firstLine="289"/>
        <w:jc w:val="both"/>
        <w:rPr>
          <w:rFonts w:hint="eastAsia"/>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14:paraId="7229866C">
      <w:pPr>
        <w:pStyle w:val="7"/>
        <w:spacing w:before="41" w:line="360" w:lineRule="auto"/>
        <w:ind w:left="0" w:right="266" w:rightChars="121" w:firstLine="289"/>
        <w:jc w:val="both"/>
        <w:rPr>
          <w:rFonts w:hint="eastAsia"/>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核。由车间主任、班组长组成的按月、周、天三个级别对各生产工厂的生产过程、工艺纪律执行情况等进行监督检查，对质量监督检查所发现问题点的整改情况进行督促，确保其及时</w:t>
      </w:r>
      <w:r>
        <w:rPr>
          <w:kern w:val="2"/>
          <w:sz w:val="24"/>
          <w:szCs w:val="24"/>
          <w:lang w:eastAsia="zh-CN"/>
        </w:rPr>
        <w:t xml:space="preserve"> </w:t>
      </w:r>
      <w:r>
        <w:rPr>
          <w:rFonts w:hint="eastAsia"/>
          <w:kern w:val="2"/>
          <w:sz w:val="24"/>
          <w:szCs w:val="24"/>
          <w:lang w:eastAsia="zh-CN"/>
        </w:rPr>
        <w:t>有效的整改。</w:t>
      </w:r>
    </w:p>
    <w:p w14:paraId="3E16D08D">
      <w:pPr>
        <w:pStyle w:val="7"/>
        <w:spacing w:before="42" w:line="360" w:lineRule="auto"/>
        <w:ind w:left="0" w:right="377" w:firstLine="289"/>
        <w:jc w:val="both"/>
        <w:rPr>
          <w:rFonts w:hint="eastAsia"/>
          <w:sz w:val="24"/>
          <w:szCs w:val="24"/>
          <w:lang w:eastAsia="zh-CN"/>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证试验。公司测试中心具有1100多平方米占地面积，价值</w:t>
      </w:r>
      <w:r>
        <w:rPr>
          <w:rFonts w:hint="eastAsia"/>
          <w:sz w:val="24"/>
          <w:szCs w:val="24"/>
          <w:lang w:val="en-US" w:eastAsia="zh-CN"/>
        </w:rPr>
        <w:t>20</w:t>
      </w:r>
      <w:r>
        <w:rPr>
          <w:rFonts w:hint="eastAsia"/>
          <w:sz w:val="24"/>
          <w:szCs w:val="24"/>
          <w:lang w:eastAsia="zh-CN"/>
        </w:rPr>
        <w:t>00多万元的试验设备的试验室，公司配备测厚仪、老化试验箱、换气老化试验箱、恒温水浴、电子万能试验机、数显式拉力试验机等检测设备50多台/套。</w:t>
      </w:r>
    </w:p>
    <w:p w14:paraId="0C4B79AF">
      <w:pPr>
        <w:pStyle w:val="4"/>
        <w:ind w:firstLine="482"/>
        <w:rPr>
          <w:rFonts w:ascii="Cambria" w:hAnsi="Cambria" w:cs="Cambria"/>
          <w:b/>
          <w:szCs w:val="24"/>
          <w:lang w:eastAsia="zh-CN"/>
        </w:rPr>
      </w:pPr>
      <w:bookmarkStart w:id="32" w:name="_Toc7451"/>
      <w:r>
        <w:rPr>
          <w:rFonts w:hint="eastAsia" w:ascii="Cambria" w:hAnsi="Cambria" w:cs="Cambria"/>
          <w:b/>
          <w:szCs w:val="24"/>
          <w:lang w:eastAsia="zh-CN"/>
        </w:rPr>
        <w:t>6.3 应急管理</w:t>
      </w:r>
      <w:bookmarkEnd w:id="32"/>
    </w:p>
    <w:p w14:paraId="4687D47D">
      <w:pPr>
        <w:spacing w:line="360" w:lineRule="auto"/>
        <w:ind w:firstLine="480" w:firstLineChars="200"/>
        <w:rPr>
          <w:rFonts w:hint="eastAsia" w:ascii="宋体" w:hAnsi="宋体"/>
          <w:kern w:val="2"/>
          <w:sz w:val="24"/>
          <w:szCs w:val="24"/>
          <w:lang w:eastAsia="zh-CN"/>
        </w:rPr>
      </w:pPr>
      <w:r>
        <w:rPr>
          <w:rFonts w:ascii="宋体" w:hAnsi="宋体"/>
          <w:kern w:val="2"/>
          <w:sz w:val="24"/>
          <w:szCs w:val="24"/>
          <w:lang w:eastAsia="zh-CN"/>
        </w:rPr>
        <w:t>为规范生产安全事故应急预案管理工作，迅速有效处置生产安全事故，依据《中华人民共和国突发事件应对法》、《中华人民共和国安全生产法》和《突发事件应急预案管理办法》等法规要求</w:t>
      </w:r>
      <w:r>
        <w:rPr>
          <w:rFonts w:hint="eastAsia" w:ascii="宋体" w:hAnsi="宋体"/>
          <w:kern w:val="2"/>
          <w:sz w:val="24"/>
          <w:szCs w:val="24"/>
          <w:lang w:eastAsia="zh-CN"/>
        </w:rPr>
        <w:t>，公司制订了《生产安全事故专项应急预案》和《生产安全事故综合应急预案》</w:t>
      </w:r>
      <w:bookmarkStart w:id="33" w:name="_Ref317150656"/>
      <w:r>
        <w:rPr>
          <w:rFonts w:hint="eastAsia" w:ascii="宋体" w:hAnsi="宋体"/>
          <w:kern w:val="2"/>
          <w:sz w:val="24"/>
          <w:szCs w:val="24"/>
          <w:lang w:eastAsia="zh-CN"/>
        </w:rPr>
        <w:t>。为了检验公司事故应急预案的合理性、实用性和可操作性；验证本公司应急体系及应急组织反应能力；锻炼各应急工作组和普通员工对应急知识、应急职责和应急程序等的熟知程度和实战能力；以便预案各种应急程序进一步掌握，磨合各应急工作组应急反应和协同应急处置能力。锻炼事故状态下，事故的有效收集和处置能力。测试公司应急反应和应急处置时间，暴露存在的问题，以便进一步完善应急预案和配备应急所需的设备器材。公司每年都会各类应急预案进行每年举行火灾消防、管道泄漏等各种应急预案的演练，演练后我们都会安排《应急演练评价》，总结演练，提出改进建议，不断地完善应急预案，更好地预防事故发生后应急措施的落实和有效性。</w:t>
      </w:r>
    </w:p>
    <w:p w14:paraId="63EF95CD">
      <w:pPr>
        <w:pStyle w:val="6"/>
        <w:spacing w:after="120" w:afterLines="50"/>
        <w:jc w:val="center"/>
        <w:rPr>
          <w:rFonts w:hint="eastAsia" w:eastAsia="宋体" w:asciiTheme="minorEastAsia" w:hAnsiTheme="minorEastAsia"/>
          <w:b/>
          <w:bCs/>
          <w:kern w:val="0"/>
          <w:sz w:val="24"/>
          <w:szCs w:val="24"/>
        </w:rPr>
      </w:pPr>
      <w:r>
        <w:rPr>
          <w:rFonts w:hint="eastAsia" w:eastAsia="宋体" w:asciiTheme="minorEastAsia" w:hAnsiTheme="minorEastAsia"/>
          <w:b/>
          <w:bCs/>
          <w:kern w:val="0"/>
          <w:sz w:val="24"/>
          <w:szCs w:val="24"/>
        </w:rPr>
        <w:t>图6.3-01  2024年应急演练记录</w:t>
      </w:r>
      <w:bookmarkEnd w:id="33"/>
    </w:p>
    <w:p w14:paraId="58BBF664">
      <w:pPr>
        <w:jc w:val="center"/>
        <w:rPr>
          <w:lang w:eastAsia="zh-CN"/>
        </w:rPr>
      </w:pPr>
      <w:r>
        <w:rPr>
          <w:lang w:eastAsia="zh-CN"/>
        </w:rPr>
        <w:drawing>
          <wp:inline distT="0" distB="0" distL="114300" distR="114300">
            <wp:extent cx="6035675" cy="2586990"/>
            <wp:effectExtent l="0" t="0" r="14605" b="3810"/>
            <wp:docPr id="2" name="图片 2" descr="175280586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2805869274"/>
                    <pic:cNvPicPr>
                      <a:picLocks noChangeAspect="1"/>
                    </pic:cNvPicPr>
                  </pic:nvPicPr>
                  <pic:blipFill>
                    <a:blip r:embed="rId14"/>
                    <a:stretch>
                      <a:fillRect/>
                    </a:stretch>
                  </pic:blipFill>
                  <pic:spPr>
                    <a:xfrm>
                      <a:off x="0" y="0"/>
                      <a:ext cx="6035675" cy="2586990"/>
                    </a:xfrm>
                    <a:prstGeom prst="rect">
                      <a:avLst/>
                    </a:prstGeom>
                  </pic:spPr>
                </pic:pic>
              </a:graphicData>
            </a:graphic>
          </wp:inline>
        </w:drawing>
      </w:r>
    </w:p>
    <w:p w14:paraId="7952C3DE">
      <w:pPr>
        <w:rPr>
          <w:lang w:eastAsia="zh-CN"/>
        </w:rPr>
      </w:pPr>
      <w:bookmarkStart w:id="34" w:name="_Toc27484"/>
    </w:p>
    <w:p w14:paraId="50B793C8">
      <w:pPr>
        <w:pStyle w:val="2"/>
        <w:rPr>
          <w:lang w:eastAsia="zh-CN"/>
        </w:rPr>
      </w:pPr>
    </w:p>
    <w:p w14:paraId="36B4A95E">
      <w:pPr>
        <w:rPr>
          <w:lang w:eastAsia="zh-CN"/>
        </w:rPr>
      </w:pPr>
    </w:p>
    <w:p w14:paraId="5F9499C3">
      <w:pPr>
        <w:pStyle w:val="5"/>
        <w:rPr>
          <w:rFonts w:eastAsiaTheme="minorEastAsia"/>
          <w:lang w:eastAsia="zh-CN"/>
        </w:rPr>
      </w:pPr>
    </w:p>
    <w:p w14:paraId="209FA5AB">
      <w:pPr>
        <w:pStyle w:val="5"/>
        <w:rPr>
          <w:rFonts w:eastAsiaTheme="minorEastAsia"/>
          <w:lang w:eastAsia="zh-CN"/>
        </w:rPr>
      </w:pPr>
    </w:p>
    <w:p w14:paraId="406E3204">
      <w:pPr>
        <w:pStyle w:val="5"/>
        <w:rPr>
          <w:rFonts w:eastAsiaTheme="minorEastAsia"/>
          <w:lang w:eastAsia="zh-CN"/>
        </w:rPr>
      </w:pPr>
    </w:p>
    <w:p w14:paraId="2FAC9EB3">
      <w:pPr>
        <w:pStyle w:val="5"/>
        <w:rPr>
          <w:rFonts w:hint="eastAsia" w:eastAsiaTheme="minorEastAsia"/>
          <w:lang w:eastAsia="zh-CN"/>
        </w:rPr>
      </w:pPr>
    </w:p>
    <w:p w14:paraId="20795658">
      <w:pPr>
        <w:pStyle w:val="2"/>
        <w:rPr>
          <w:lang w:eastAsia="zh-CN"/>
        </w:rPr>
      </w:pPr>
    </w:p>
    <w:p w14:paraId="1D89FD9B">
      <w:pPr>
        <w:rPr>
          <w:rFonts w:hint="eastAsia"/>
          <w:lang w:eastAsia="zh-CN"/>
        </w:rPr>
      </w:pPr>
    </w:p>
    <w:p w14:paraId="6677FCA1">
      <w:pPr>
        <w:pStyle w:val="2"/>
        <w:rPr>
          <w:rFonts w:hint="eastAsia"/>
          <w:lang w:eastAsia="zh-CN"/>
        </w:rPr>
      </w:pPr>
    </w:p>
    <w:p w14:paraId="054CCB41">
      <w:pPr>
        <w:pStyle w:val="2"/>
        <w:rPr>
          <w:rFonts w:hint="eastAsia"/>
          <w:lang w:eastAsia="zh-CN"/>
        </w:rPr>
      </w:pPr>
    </w:p>
    <w:p w14:paraId="04338692">
      <w:pPr>
        <w:pStyle w:val="2"/>
        <w:rPr>
          <w:rFonts w:hint="eastAsia"/>
          <w:lang w:eastAsia="zh-CN"/>
        </w:rPr>
      </w:pPr>
    </w:p>
    <w:p w14:paraId="70EB7BDA">
      <w:pPr>
        <w:pStyle w:val="2"/>
        <w:rPr>
          <w:rFonts w:hint="eastAsia"/>
          <w:lang w:eastAsia="zh-CN"/>
        </w:rPr>
      </w:pPr>
    </w:p>
    <w:p w14:paraId="70D84B30">
      <w:pPr>
        <w:rPr>
          <w:rFonts w:hint="eastAsia"/>
          <w:lang w:eastAsia="zh-CN"/>
        </w:rPr>
      </w:pPr>
    </w:p>
    <w:p w14:paraId="4B4EDC77">
      <w:pPr>
        <w:rPr>
          <w:rFonts w:hint="eastAsia"/>
          <w:lang w:eastAsia="zh-CN"/>
        </w:rPr>
      </w:pPr>
    </w:p>
    <w:p w14:paraId="45ACE266">
      <w:pPr>
        <w:pStyle w:val="2"/>
        <w:rPr>
          <w:rFonts w:hint="eastAsia"/>
          <w:lang w:eastAsia="zh-CN"/>
        </w:rPr>
      </w:pPr>
    </w:p>
    <w:p w14:paraId="0CD5327D">
      <w:pPr>
        <w:pStyle w:val="2"/>
        <w:rPr>
          <w:lang w:eastAsia="zh-CN"/>
        </w:rPr>
      </w:pPr>
      <w:r>
        <w:rPr>
          <w:rFonts w:hint="eastAsia"/>
          <w:lang w:eastAsia="zh-CN"/>
        </w:rPr>
        <w:t>结</w:t>
      </w:r>
      <w:r>
        <w:rPr>
          <w:lang w:eastAsia="zh-CN"/>
        </w:rPr>
        <w:tab/>
      </w:r>
      <w:r>
        <w:rPr>
          <w:rFonts w:hint="eastAsia"/>
          <w:lang w:eastAsia="zh-CN"/>
        </w:rPr>
        <w:t>语</w:t>
      </w:r>
      <w:bookmarkEnd w:id="34"/>
    </w:p>
    <w:p w14:paraId="69FE94C3">
      <w:pPr>
        <w:spacing w:before="7" w:line="360" w:lineRule="auto"/>
        <w:rPr>
          <w:sz w:val="10"/>
          <w:szCs w:val="10"/>
          <w:lang w:eastAsia="zh-CN"/>
        </w:rPr>
      </w:pPr>
    </w:p>
    <w:p w14:paraId="669DF53F">
      <w:pPr>
        <w:pStyle w:val="7"/>
        <w:spacing w:line="360" w:lineRule="auto"/>
        <w:ind w:right="360" w:firstLine="647"/>
        <w:jc w:val="both"/>
        <w:rPr>
          <w:rFonts w:hint="eastAsia" w:cs="宋体"/>
          <w:lang w:eastAsia="zh-CN"/>
        </w:rPr>
      </w:pPr>
    </w:p>
    <w:p w14:paraId="54D66E1E">
      <w:pPr>
        <w:pStyle w:val="7"/>
        <w:spacing w:line="360" w:lineRule="auto"/>
        <w:ind w:right="360" w:firstLine="647"/>
        <w:jc w:val="both"/>
        <w:rPr>
          <w:rFonts w:hint="eastAsia"/>
          <w:spacing w:val="2"/>
          <w:lang w:eastAsia="zh-CN"/>
        </w:rPr>
      </w:pPr>
      <w:r>
        <w:rPr>
          <w:rFonts w:cs="宋体"/>
          <w:lang w:eastAsia="zh-CN"/>
        </w:rPr>
        <w:t>20</w:t>
      </w:r>
      <w:r>
        <w:rPr>
          <w:rFonts w:hint="eastAsia" w:cs="宋体"/>
          <w:lang w:eastAsia="zh-CN"/>
        </w:rPr>
        <w:t>24</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14:paraId="414B54E2">
      <w:pPr>
        <w:pStyle w:val="7"/>
        <w:spacing w:before="37" w:line="360" w:lineRule="auto"/>
        <w:ind w:right="491" w:firstLine="520"/>
        <w:jc w:val="both"/>
        <w:rPr>
          <w:rFonts w:hint="eastAsia"/>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w:t>
      </w:r>
      <w:r>
        <w:rPr>
          <w:spacing w:val="2"/>
          <w:lang w:eastAsia="zh-CN"/>
        </w:rPr>
        <w:t xml:space="preserve"> </w:t>
      </w:r>
      <w:r>
        <w:rPr>
          <w:rFonts w:hint="eastAsia"/>
          <w:spacing w:val="2"/>
          <w:lang w:eastAsia="zh-CN"/>
        </w:rPr>
        <w:t>机制，科学实施，常抓不懈。公司将夯实质量诚信基础，走质量效益之路，为成为提供高效换热解决方案及相关产品的世界级优秀企业而努力</w:t>
      </w:r>
      <w:r>
        <w:rPr>
          <w:rFonts w:hint="eastAsia"/>
          <w:w w:val="95"/>
          <w:lang w:eastAsia="zh-CN"/>
        </w:rPr>
        <w:t>。</w:t>
      </w:r>
    </w:p>
    <w:p w14:paraId="02042FBB">
      <w:pPr>
        <w:pStyle w:val="7"/>
        <w:spacing w:before="37" w:line="360" w:lineRule="auto"/>
        <w:ind w:right="491" w:firstLine="520"/>
        <w:jc w:val="both"/>
        <w:rPr>
          <w:rFonts w:hint="eastAsia"/>
          <w:lang w:eastAsia="zh-CN"/>
        </w:rPr>
      </w:pPr>
    </w:p>
    <w:p w14:paraId="75A7D34D">
      <w:pPr>
        <w:pStyle w:val="7"/>
        <w:spacing w:before="37" w:line="360" w:lineRule="auto"/>
        <w:ind w:right="491" w:firstLine="520"/>
        <w:jc w:val="both"/>
        <w:rPr>
          <w:rFonts w:hint="eastAsia"/>
          <w:lang w:eastAsia="zh-CN"/>
        </w:rPr>
      </w:pPr>
    </w:p>
    <w:p w14:paraId="42621DEC">
      <w:pPr>
        <w:pStyle w:val="7"/>
        <w:spacing w:before="37" w:line="360" w:lineRule="auto"/>
        <w:ind w:right="491" w:firstLine="520"/>
        <w:jc w:val="both"/>
        <w:rPr>
          <w:rFonts w:hint="eastAsia"/>
          <w:lang w:eastAsia="zh-CN"/>
        </w:rPr>
      </w:pPr>
    </w:p>
    <w:p w14:paraId="4922B555">
      <w:pPr>
        <w:pStyle w:val="7"/>
        <w:spacing w:before="37" w:line="360" w:lineRule="auto"/>
        <w:ind w:right="491" w:firstLine="520"/>
        <w:jc w:val="both"/>
        <w:rPr>
          <w:rFonts w:hint="eastAsia"/>
          <w:lang w:eastAsia="zh-CN"/>
        </w:rPr>
      </w:pPr>
    </w:p>
    <w:p w14:paraId="18BFD80F">
      <w:pPr>
        <w:spacing w:line="360" w:lineRule="auto"/>
        <w:ind w:left="20"/>
        <w:rPr>
          <w:rFonts w:hint="eastAsia" w:ascii="宋体" w:hAnsi="宋体" w:cs="宋体"/>
          <w:sz w:val="32"/>
          <w:szCs w:val="32"/>
          <w:lang w:eastAsia="zh-CN"/>
        </w:rPr>
      </w:pPr>
      <w:r>
        <w:rPr>
          <w:rFonts w:hint="eastAsia"/>
          <w:lang w:eastAsia="zh-CN"/>
        </w:rPr>
        <w:t xml:space="preserve">                                                                                        </w:t>
      </w:r>
      <w:r>
        <w:rPr>
          <w:rFonts w:hint="eastAsia"/>
          <w:lang w:val="en-US" w:eastAsia="zh-CN"/>
        </w:rPr>
        <w:t xml:space="preserve">       </w:t>
      </w:r>
      <w:r>
        <w:rPr>
          <w:rFonts w:hint="eastAsia"/>
          <w:lang w:eastAsia="zh-CN"/>
        </w:rPr>
        <w:t xml:space="preserve">  </w:t>
      </w:r>
      <w:r>
        <w:rPr>
          <w:rFonts w:hint="eastAsia"/>
          <w:sz w:val="32"/>
          <w:szCs w:val="32"/>
          <w:lang w:eastAsia="zh-CN"/>
        </w:rPr>
        <w:t xml:space="preserve"> </w:t>
      </w:r>
      <w:r>
        <w:rPr>
          <w:rFonts w:hint="eastAsia"/>
          <w:sz w:val="32"/>
          <w:szCs w:val="32"/>
          <w:lang w:val="en-US" w:eastAsia="zh-CN"/>
        </w:rPr>
        <w:t xml:space="preserve">  </w:t>
      </w:r>
      <w:r>
        <w:rPr>
          <w:rFonts w:hint="eastAsia" w:ascii="宋体" w:hAnsi="宋体" w:cs="宋体"/>
          <w:sz w:val="32"/>
          <w:szCs w:val="32"/>
          <w:lang w:eastAsia="zh-CN"/>
        </w:rPr>
        <w:t>开开电缆科技有限公司</w:t>
      </w:r>
    </w:p>
    <w:p w14:paraId="12D07A5D">
      <w:pPr>
        <w:spacing w:line="360" w:lineRule="auto"/>
        <w:ind w:left="20"/>
        <w:rPr>
          <w:sz w:val="32"/>
          <w:szCs w:val="32"/>
          <w:lang w:eastAsia="zh-CN"/>
        </w:rPr>
      </w:pPr>
      <w:r>
        <w:rPr>
          <w:rFonts w:hint="eastAsia" w:ascii="宋体" w:hAnsi="宋体" w:cs="宋体"/>
          <w:sz w:val="32"/>
          <w:szCs w:val="32"/>
          <w:lang w:eastAsia="zh-CN"/>
        </w:rPr>
        <w:t xml:space="preserve">                                      </w:t>
      </w:r>
      <w:r>
        <w:rPr>
          <w:rFonts w:hint="eastAsia"/>
          <w:sz w:val="32"/>
          <w:szCs w:val="32"/>
          <w:lang w:eastAsia="zh-CN"/>
        </w:rPr>
        <w:t>2025-03-08</w:t>
      </w:r>
    </w:p>
    <w:p w14:paraId="62F2FD20">
      <w:pPr>
        <w:pStyle w:val="7"/>
        <w:spacing w:before="37" w:line="360" w:lineRule="auto"/>
        <w:ind w:right="491" w:firstLine="520"/>
        <w:jc w:val="both"/>
        <w:rPr>
          <w:rFonts w:hint="eastAsia"/>
          <w:lang w:eastAsia="zh-CN"/>
        </w:rPr>
      </w:pPr>
    </w:p>
    <w:sectPr>
      <w:footerReference r:id="rId6" w:type="default"/>
      <w:pgSz w:w="11907" w:h="16840"/>
      <w:pgMar w:top="1540" w:right="1100" w:bottom="1160" w:left="1300" w:header="849" w:footer="979"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98963">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6859A">
    <w:pPr>
      <w:spacing w:line="200" w:lineRule="exact"/>
      <w:rPr>
        <w:sz w:val="20"/>
        <w:szCs w:val="20"/>
      </w:rPr>
    </w:pPr>
    <w:r>
      <w:rPr>
        <w:lang w:eastAsia="zh-CN"/>
      </w:rPr>
      <w:pict>
        <v:shape id="_x0000_s1028" o:spid="_x0000_s1028" o:spt="202" type="#_x0000_t202" style="position:absolute;left:0pt;margin-left:293.35pt;margin-top:781.95pt;height:11pt;width:8.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1FB8FA53">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BB2C0">
    <w:pPr>
      <w:pStyle w:val="11"/>
      <w:jc w:val="center"/>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sdt>
                <w:sdtPr>
                  <w:id w:val="1566529817"/>
                </w:sdtPr>
                <w:sdtContent>
                  <w:p w14:paraId="2F7D39AF">
                    <w:pPr>
                      <w:pStyle w:val="11"/>
                      <w:jc w:val="center"/>
                    </w:pPr>
                    <w:r>
                      <w:rPr>
                        <w:rFonts w:hint="eastAsia"/>
                        <w:lang w:eastAsia="zh-CN"/>
                      </w:rPr>
                      <w:t>21</w:t>
                    </w:r>
                  </w:p>
                </w:sdtContent>
              </w:sdt>
              <w:p w14:paraId="721AC1BE">
                <w:pPr>
                  <w:pStyle w:val="5"/>
                </w:pPr>
              </w:p>
            </w:txbxContent>
          </v:textbox>
        </v:shape>
      </w:pict>
    </w:r>
  </w:p>
  <w:p w14:paraId="304565D7">
    <w:pPr>
      <w:spacing w:line="200" w:lineRule="exact"/>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D332B">
    <w:pPr>
      <w:pStyle w:val="12"/>
      <w:jc w:val="left"/>
      <w:rPr>
        <w:lang w:eastAsia="zh-CN"/>
      </w:rPr>
    </w:pPr>
    <w:r>
      <w:rPr>
        <w:rFonts w:hint="eastAsia"/>
        <w:lang w:eastAsia="zh-CN"/>
      </w:rPr>
      <w:t xml:space="preserve">  </w:t>
    </w:r>
    <w:r>
      <w:object>
        <v:shape id="_x0000_i1026" o:spt="75" type="#_x0000_t75" style="height:24.75pt;width:57pt;" o:ole="t" filled="f" o:preferrelative="t" stroked="f" coordsize="21600,21600">
          <v:path/>
          <v:fill on="f" focussize="0,0"/>
          <v:stroke on="f"/>
          <v:imagedata r:id="rId2" grayscale="f" bilevel="f" o:title=""/>
          <o:lock v:ext="edit" aspectratio="t"/>
          <w10:wrap type="none"/>
          <w10:anchorlock/>
        </v:shape>
        <o:OLEObject Type="Embed" ProgID=" " ShapeID="_x0000_i1026" DrawAspect="Content" ObjectID="_1468075725" r:id="rId1">
          <o:LockedField>false</o:LockedField>
        </o:OLEObject>
      </w:object>
    </w:r>
    <w:r>
      <w:rPr>
        <w:rFonts w:hint="eastAsia"/>
        <w:lang w:eastAsia="zh-CN"/>
      </w:rPr>
      <w:t xml:space="preserve">  </w:t>
    </w:r>
    <w:r>
      <w:rPr>
        <w:rFonts w:hint="eastAsia"/>
        <w:b/>
        <w:sz w:val="21"/>
        <w:szCs w:val="21"/>
        <w:lang w:eastAsia="zh-CN"/>
      </w:rPr>
      <w:t>2024年度</w:t>
    </w:r>
    <w:r>
      <w:rPr>
        <w:rFonts w:hint="eastAsia"/>
        <w:sz w:val="21"/>
        <w:szCs w:val="21"/>
        <w:lang w:eastAsia="zh-CN"/>
      </w:rPr>
      <w:t xml:space="preserve"> </w:t>
    </w:r>
    <w:r>
      <w:rPr>
        <w:rFonts w:hint="eastAsia"/>
        <w:b/>
        <w:sz w:val="21"/>
        <w:szCs w:val="21"/>
        <w:lang w:eastAsia="zh-CN"/>
      </w:rPr>
      <w:t>质 量 诚 信 报 告</w:t>
    </w:r>
  </w:p>
  <w:p w14:paraId="0350A68E">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E4B129"/>
    <w:multiLevelType w:val="singleLevel"/>
    <w:tmpl w:val="51E4B129"/>
    <w:lvl w:ilvl="0" w:tentative="0">
      <w:start w:val="2"/>
      <w:numFmt w:val="decimal"/>
      <w:suff w:val="nothing"/>
      <w:lvlText w:val="%1、"/>
      <w:lvlJc w:val="left"/>
    </w:lvl>
  </w:abstractNum>
  <w:abstractNum w:abstractNumId="1">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7CDFE419"/>
    <w:multiLevelType w:val="multilevel"/>
    <w:tmpl w:val="7CDFE419"/>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suff w:val="nothing"/>
      <w:lvlText w:val="%1.%2.%3"/>
      <w:lvlJc w:val="left"/>
      <w:pPr>
        <w:ind w:hanging="648"/>
      </w:pPr>
      <w:rPr>
        <w:rFonts w:hint="default" w:ascii="宋体" w:hAnsi="宋体" w:eastAsia="宋体"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1"/>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475148"/>
    <w:rsid w:val="00003ECB"/>
    <w:rsid w:val="00004534"/>
    <w:rsid w:val="0001322F"/>
    <w:rsid w:val="00016B1A"/>
    <w:rsid w:val="000174C0"/>
    <w:rsid w:val="00020EE8"/>
    <w:rsid w:val="0003088A"/>
    <w:rsid w:val="00036B5D"/>
    <w:rsid w:val="00040BAF"/>
    <w:rsid w:val="00047371"/>
    <w:rsid w:val="0004797E"/>
    <w:rsid w:val="00047EAE"/>
    <w:rsid w:val="00050131"/>
    <w:rsid w:val="00050915"/>
    <w:rsid w:val="000521BD"/>
    <w:rsid w:val="00067117"/>
    <w:rsid w:val="00070B42"/>
    <w:rsid w:val="00070FEC"/>
    <w:rsid w:val="0007677E"/>
    <w:rsid w:val="00076E33"/>
    <w:rsid w:val="000833FE"/>
    <w:rsid w:val="00083B59"/>
    <w:rsid w:val="000868D3"/>
    <w:rsid w:val="00091CB7"/>
    <w:rsid w:val="00095100"/>
    <w:rsid w:val="0009519E"/>
    <w:rsid w:val="000A2940"/>
    <w:rsid w:val="000A2AC1"/>
    <w:rsid w:val="000A5385"/>
    <w:rsid w:val="000A5A6F"/>
    <w:rsid w:val="000A5C4E"/>
    <w:rsid w:val="000B2550"/>
    <w:rsid w:val="000B7D71"/>
    <w:rsid w:val="000C3208"/>
    <w:rsid w:val="000C79D0"/>
    <w:rsid w:val="000D012E"/>
    <w:rsid w:val="000D4A85"/>
    <w:rsid w:val="000E3B10"/>
    <w:rsid w:val="000F18A8"/>
    <w:rsid w:val="000F3A5C"/>
    <w:rsid w:val="000F424F"/>
    <w:rsid w:val="000F78F1"/>
    <w:rsid w:val="00101AED"/>
    <w:rsid w:val="0010647E"/>
    <w:rsid w:val="00106935"/>
    <w:rsid w:val="00122AA0"/>
    <w:rsid w:val="0012482A"/>
    <w:rsid w:val="00124968"/>
    <w:rsid w:val="00131843"/>
    <w:rsid w:val="00131A9E"/>
    <w:rsid w:val="00142370"/>
    <w:rsid w:val="00143E96"/>
    <w:rsid w:val="00147C34"/>
    <w:rsid w:val="0015674A"/>
    <w:rsid w:val="001606CF"/>
    <w:rsid w:val="001629DD"/>
    <w:rsid w:val="00163270"/>
    <w:rsid w:val="00164F3B"/>
    <w:rsid w:val="00165B82"/>
    <w:rsid w:val="00171DCF"/>
    <w:rsid w:val="00174C6C"/>
    <w:rsid w:val="00176545"/>
    <w:rsid w:val="00176DEF"/>
    <w:rsid w:val="00181410"/>
    <w:rsid w:val="00190F8C"/>
    <w:rsid w:val="0019164E"/>
    <w:rsid w:val="00191AC5"/>
    <w:rsid w:val="001969A7"/>
    <w:rsid w:val="001A0FE7"/>
    <w:rsid w:val="001A2129"/>
    <w:rsid w:val="001A2C53"/>
    <w:rsid w:val="001A3262"/>
    <w:rsid w:val="001A3A38"/>
    <w:rsid w:val="001A70BE"/>
    <w:rsid w:val="001C0758"/>
    <w:rsid w:val="001D4ECD"/>
    <w:rsid w:val="001D7067"/>
    <w:rsid w:val="001E18DF"/>
    <w:rsid w:val="001E30A4"/>
    <w:rsid w:val="001E5EFC"/>
    <w:rsid w:val="001F210E"/>
    <w:rsid w:val="001F4206"/>
    <w:rsid w:val="001F6590"/>
    <w:rsid w:val="00200115"/>
    <w:rsid w:val="0020393D"/>
    <w:rsid w:val="00205BED"/>
    <w:rsid w:val="00207E25"/>
    <w:rsid w:val="00207F8F"/>
    <w:rsid w:val="00212704"/>
    <w:rsid w:val="00220173"/>
    <w:rsid w:val="0022363A"/>
    <w:rsid w:val="00231E28"/>
    <w:rsid w:val="00231F90"/>
    <w:rsid w:val="002363BF"/>
    <w:rsid w:val="00236B6B"/>
    <w:rsid w:val="00236E6A"/>
    <w:rsid w:val="0024259E"/>
    <w:rsid w:val="00247BA1"/>
    <w:rsid w:val="0025553C"/>
    <w:rsid w:val="00262FA1"/>
    <w:rsid w:val="00265502"/>
    <w:rsid w:val="00272762"/>
    <w:rsid w:val="00275967"/>
    <w:rsid w:val="0028708E"/>
    <w:rsid w:val="002A4A5B"/>
    <w:rsid w:val="002A55EC"/>
    <w:rsid w:val="002A77DD"/>
    <w:rsid w:val="002A7D69"/>
    <w:rsid w:val="002C330E"/>
    <w:rsid w:val="002C3ABB"/>
    <w:rsid w:val="002C4F74"/>
    <w:rsid w:val="002C6C0A"/>
    <w:rsid w:val="002D5563"/>
    <w:rsid w:val="002D6204"/>
    <w:rsid w:val="002D6F7C"/>
    <w:rsid w:val="002E0029"/>
    <w:rsid w:val="002E3B54"/>
    <w:rsid w:val="003013AE"/>
    <w:rsid w:val="00303DA8"/>
    <w:rsid w:val="00307B49"/>
    <w:rsid w:val="00307F8D"/>
    <w:rsid w:val="003103CE"/>
    <w:rsid w:val="003279E8"/>
    <w:rsid w:val="00333B62"/>
    <w:rsid w:val="003352E9"/>
    <w:rsid w:val="0033607B"/>
    <w:rsid w:val="00343F69"/>
    <w:rsid w:val="00345BC1"/>
    <w:rsid w:val="00346C0C"/>
    <w:rsid w:val="003475AC"/>
    <w:rsid w:val="00355DF1"/>
    <w:rsid w:val="003564D6"/>
    <w:rsid w:val="0036381D"/>
    <w:rsid w:val="00364E0B"/>
    <w:rsid w:val="0037632A"/>
    <w:rsid w:val="0038311A"/>
    <w:rsid w:val="00386A0C"/>
    <w:rsid w:val="00390985"/>
    <w:rsid w:val="00390FF6"/>
    <w:rsid w:val="00394EC1"/>
    <w:rsid w:val="003964B1"/>
    <w:rsid w:val="003967BF"/>
    <w:rsid w:val="003A10E9"/>
    <w:rsid w:val="003A385E"/>
    <w:rsid w:val="003A4AF9"/>
    <w:rsid w:val="003A5481"/>
    <w:rsid w:val="003A731A"/>
    <w:rsid w:val="003B1A91"/>
    <w:rsid w:val="003B42BF"/>
    <w:rsid w:val="003B4615"/>
    <w:rsid w:val="003D3CF4"/>
    <w:rsid w:val="003D603B"/>
    <w:rsid w:val="003E2306"/>
    <w:rsid w:val="003E29DC"/>
    <w:rsid w:val="003E617D"/>
    <w:rsid w:val="003F2398"/>
    <w:rsid w:val="00403EE6"/>
    <w:rsid w:val="0040485E"/>
    <w:rsid w:val="00406EAC"/>
    <w:rsid w:val="0040798F"/>
    <w:rsid w:val="00407A8F"/>
    <w:rsid w:val="00415440"/>
    <w:rsid w:val="00420713"/>
    <w:rsid w:val="0042073D"/>
    <w:rsid w:val="00420D14"/>
    <w:rsid w:val="00421034"/>
    <w:rsid w:val="00421BBF"/>
    <w:rsid w:val="00427D03"/>
    <w:rsid w:val="00433583"/>
    <w:rsid w:val="0044292B"/>
    <w:rsid w:val="00443589"/>
    <w:rsid w:val="00443C2D"/>
    <w:rsid w:val="004511F0"/>
    <w:rsid w:val="00453967"/>
    <w:rsid w:val="00457830"/>
    <w:rsid w:val="00463629"/>
    <w:rsid w:val="00464A84"/>
    <w:rsid w:val="0046511C"/>
    <w:rsid w:val="00473F9A"/>
    <w:rsid w:val="00474787"/>
    <w:rsid w:val="00475148"/>
    <w:rsid w:val="00481528"/>
    <w:rsid w:val="00481C15"/>
    <w:rsid w:val="00482BA9"/>
    <w:rsid w:val="004867E9"/>
    <w:rsid w:val="00492097"/>
    <w:rsid w:val="004A2C03"/>
    <w:rsid w:val="004A6672"/>
    <w:rsid w:val="004B28E4"/>
    <w:rsid w:val="004B39E5"/>
    <w:rsid w:val="004C0551"/>
    <w:rsid w:val="004C16E0"/>
    <w:rsid w:val="004C3E00"/>
    <w:rsid w:val="004D242D"/>
    <w:rsid w:val="004D75F6"/>
    <w:rsid w:val="004E4BEC"/>
    <w:rsid w:val="004E5251"/>
    <w:rsid w:val="004E637C"/>
    <w:rsid w:val="004E6819"/>
    <w:rsid w:val="004E73AA"/>
    <w:rsid w:val="004F0243"/>
    <w:rsid w:val="004F7492"/>
    <w:rsid w:val="00500CDD"/>
    <w:rsid w:val="00500CEA"/>
    <w:rsid w:val="00507453"/>
    <w:rsid w:val="00511120"/>
    <w:rsid w:val="00512BB2"/>
    <w:rsid w:val="00512D01"/>
    <w:rsid w:val="005133E8"/>
    <w:rsid w:val="00513913"/>
    <w:rsid w:val="005234D0"/>
    <w:rsid w:val="00523A79"/>
    <w:rsid w:val="00541ACD"/>
    <w:rsid w:val="00545F3C"/>
    <w:rsid w:val="0054620B"/>
    <w:rsid w:val="005462BB"/>
    <w:rsid w:val="00550DC4"/>
    <w:rsid w:val="00551AFC"/>
    <w:rsid w:val="00553DA0"/>
    <w:rsid w:val="00554ABE"/>
    <w:rsid w:val="0056406B"/>
    <w:rsid w:val="00594CC7"/>
    <w:rsid w:val="005B57BE"/>
    <w:rsid w:val="005B65E0"/>
    <w:rsid w:val="005B6EAA"/>
    <w:rsid w:val="005B76D3"/>
    <w:rsid w:val="005C34D0"/>
    <w:rsid w:val="005C3CA0"/>
    <w:rsid w:val="005C6731"/>
    <w:rsid w:val="005D39FB"/>
    <w:rsid w:val="005D518F"/>
    <w:rsid w:val="005E1D20"/>
    <w:rsid w:val="005E4673"/>
    <w:rsid w:val="005F0D5D"/>
    <w:rsid w:val="005F35F4"/>
    <w:rsid w:val="005F57F4"/>
    <w:rsid w:val="0060377F"/>
    <w:rsid w:val="00605BFC"/>
    <w:rsid w:val="006078CA"/>
    <w:rsid w:val="00615C85"/>
    <w:rsid w:val="006172E0"/>
    <w:rsid w:val="00620535"/>
    <w:rsid w:val="00627C14"/>
    <w:rsid w:val="00631610"/>
    <w:rsid w:val="0063622E"/>
    <w:rsid w:val="006421C5"/>
    <w:rsid w:val="00642347"/>
    <w:rsid w:val="0064450C"/>
    <w:rsid w:val="00645AA8"/>
    <w:rsid w:val="006513B2"/>
    <w:rsid w:val="006532E7"/>
    <w:rsid w:val="0066189F"/>
    <w:rsid w:val="0066193B"/>
    <w:rsid w:val="00662F17"/>
    <w:rsid w:val="00663804"/>
    <w:rsid w:val="0067185F"/>
    <w:rsid w:val="0068288D"/>
    <w:rsid w:val="00687A7A"/>
    <w:rsid w:val="00687ECC"/>
    <w:rsid w:val="006924F4"/>
    <w:rsid w:val="00693B3B"/>
    <w:rsid w:val="00694184"/>
    <w:rsid w:val="006973D5"/>
    <w:rsid w:val="006A45B4"/>
    <w:rsid w:val="006A54B0"/>
    <w:rsid w:val="006A6286"/>
    <w:rsid w:val="006B0A4C"/>
    <w:rsid w:val="006B25EC"/>
    <w:rsid w:val="006B594D"/>
    <w:rsid w:val="006C44E8"/>
    <w:rsid w:val="006D06F9"/>
    <w:rsid w:val="006D3F35"/>
    <w:rsid w:val="006D5BBB"/>
    <w:rsid w:val="006D6A13"/>
    <w:rsid w:val="006E580E"/>
    <w:rsid w:val="006E76A8"/>
    <w:rsid w:val="006F06AE"/>
    <w:rsid w:val="006F18DA"/>
    <w:rsid w:val="006F2167"/>
    <w:rsid w:val="006F4F7F"/>
    <w:rsid w:val="006F7A2A"/>
    <w:rsid w:val="007051C9"/>
    <w:rsid w:val="00710EB9"/>
    <w:rsid w:val="007132BE"/>
    <w:rsid w:val="007171E9"/>
    <w:rsid w:val="007238F4"/>
    <w:rsid w:val="00742D59"/>
    <w:rsid w:val="00743F4E"/>
    <w:rsid w:val="00751704"/>
    <w:rsid w:val="00756B4E"/>
    <w:rsid w:val="00762B01"/>
    <w:rsid w:val="00763394"/>
    <w:rsid w:val="0076524D"/>
    <w:rsid w:val="00773313"/>
    <w:rsid w:val="00784CC3"/>
    <w:rsid w:val="00785DC5"/>
    <w:rsid w:val="007867FC"/>
    <w:rsid w:val="00793D34"/>
    <w:rsid w:val="00796A96"/>
    <w:rsid w:val="007A21D9"/>
    <w:rsid w:val="007A378E"/>
    <w:rsid w:val="007A685A"/>
    <w:rsid w:val="007B116D"/>
    <w:rsid w:val="007B193B"/>
    <w:rsid w:val="007B2D5C"/>
    <w:rsid w:val="007B350D"/>
    <w:rsid w:val="007C076E"/>
    <w:rsid w:val="007C29B8"/>
    <w:rsid w:val="007C3FBB"/>
    <w:rsid w:val="007C5439"/>
    <w:rsid w:val="007C6204"/>
    <w:rsid w:val="007C7A51"/>
    <w:rsid w:val="007D43A3"/>
    <w:rsid w:val="007E12D0"/>
    <w:rsid w:val="007E366D"/>
    <w:rsid w:val="007E52C4"/>
    <w:rsid w:val="007E75A9"/>
    <w:rsid w:val="007F3002"/>
    <w:rsid w:val="007F57D7"/>
    <w:rsid w:val="00806A7D"/>
    <w:rsid w:val="0081312D"/>
    <w:rsid w:val="00814870"/>
    <w:rsid w:val="00820086"/>
    <w:rsid w:val="00820107"/>
    <w:rsid w:val="00823F12"/>
    <w:rsid w:val="00825F81"/>
    <w:rsid w:val="0083255D"/>
    <w:rsid w:val="008331B0"/>
    <w:rsid w:val="008421F7"/>
    <w:rsid w:val="00851536"/>
    <w:rsid w:val="00853881"/>
    <w:rsid w:val="00853EB7"/>
    <w:rsid w:val="00857312"/>
    <w:rsid w:val="008619E4"/>
    <w:rsid w:val="00864130"/>
    <w:rsid w:val="008825D2"/>
    <w:rsid w:val="00891C3D"/>
    <w:rsid w:val="00893A5D"/>
    <w:rsid w:val="00894C07"/>
    <w:rsid w:val="008A4289"/>
    <w:rsid w:val="008A4703"/>
    <w:rsid w:val="008A4A54"/>
    <w:rsid w:val="008B00E8"/>
    <w:rsid w:val="008B0DB5"/>
    <w:rsid w:val="008B2706"/>
    <w:rsid w:val="008D1064"/>
    <w:rsid w:val="008D17E8"/>
    <w:rsid w:val="008E1D2A"/>
    <w:rsid w:val="008E21EE"/>
    <w:rsid w:val="008E4D84"/>
    <w:rsid w:val="008F247C"/>
    <w:rsid w:val="008F4F60"/>
    <w:rsid w:val="00900F96"/>
    <w:rsid w:val="00900FF4"/>
    <w:rsid w:val="009017B9"/>
    <w:rsid w:val="00902AC8"/>
    <w:rsid w:val="0090407E"/>
    <w:rsid w:val="009062C9"/>
    <w:rsid w:val="00911CFD"/>
    <w:rsid w:val="00915D83"/>
    <w:rsid w:val="00917D93"/>
    <w:rsid w:val="009233E5"/>
    <w:rsid w:val="009310DF"/>
    <w:rsid w:val="00934AC0"/>
    <w:rsid w:val="009364F6"/>
    <w:rsid w:val="00936DC5"/>
    <w:rsid w:val="00940D16"/>
    <w:rsid w:val="00943B39"/>
    <w:rsid w:val="00951AAB"/>
    <w:rsid w:val="00954A99"/>
    <w:rsid w:val="00955B87"/>
    <w:rsid w:val="00967EDB"/>
    <w:rsid w:val="00967F64"/>
    <w:rsid w:val="00972FD2"/>
    <w:rsid w:val="00975800"/>
    <w:rsid w:val="0098657C"/>
    <w:rsid w:val="00994F6D"/>
    <w:rsid w:val="009972BE"/>
    <w:rsid w:val="009A6AD5"/>
    <w:rsid w:val="009A7F4A"/>
    <w:rsid w:val="009B28FD"/>
    <w:rsid w:val="009C2F39"/>
    <w:rsid w:val="009C5643"/>
    <w:rsid w:val="009D3095"/>
    <w:rsid w:val="009D7968"/>
    <w:rsid w:val="009E1318"/>
    <w:rsid w:val="009F72A7"/>
    <w:rsid w:val="00A004A5"/>
    <w:rsid w:val="00A00B30"/>
    <w:rsid w:val="00A07ADD"/>
    <w:rsid w:val="00A1340C"/>
    <w:rsid w:val="00A3011C"/>
    <w:rsid w:val="00A41082"/>
    <w:rsid w:val="00A43084"/>
    <w:rsid w:val="00A43900"/>
    <w:rsid w:val="00A44E6C"/>
    <w:rsid w:val="00A521A9"/>
    <w:rsid w:val="00A52227"/>
    <w:rsid w:val="00A52336"/>
    <w:rsid w:val="00A55173"/>
    <w:rsid w:val="00A56A2B"/>
    <w:rsid w:val="00A6114D"/>
    <w:rsid w:val="00A73407"/>
    <w:rsid w:val="00A749EB"/>
    <w:rsid w:val="00A92F74"/>
    <w:rsid w:val="00AA1557"/>
    <w:rsid w:val="00AA3506"/>
    <w:rsid w:val="00AA533F"/>
    <w:rsid w:val="00AB086C"/>
    <w:rsid w:val="00AB224E"/>
    <w:rsid w:val="00AB5CDA"/>
    <w:rsid w:val="00AB5F0F"/>
    <w:rsid w:val="00AB6A43"/>
    <w:rsid w:val="00AB7167"/>
    <w:rsid w:val="00AB7DCC"/>
    <w:rsid w:val="00AC0534"/>
    <w:rsid w:val="00AC4B08"/>
    <w:rsid w:val="00AC7C87"/>
    <w:rsid w:val="00AD3BD4"/>
    <w:rsid w:val="00AD4E1F"/>
    <w:rsid w:val="00AD7148"/>
    <w:rsid w:val="00AF1B6B"/>
    <w:rsid w:val="00AF588D"/>
    <w:rsid w:val="00AF6576"/>
    <w:rsid w:val="00B023F9"/>
    <w:rsid w:val="00B16882"/>
    <w:rsid w:val="00B16A11"/>
    <w:rsid w:val="00B210C7"/>
    <w:rsid w:val="00B22ECC"/>
    <w:rsid w:val="00B259D5"/>
    <w:rsid w:val="00B30DA8"/>
    <w:rsid w:val="00B37FD5"/>
    <w:rsid w:val="00B43176"/>
    <w:rsid w:val="00B43DDB"/>
    <w:rsid w:val="00B45DF6"/>
    <w:rsid w:val="00B51ED7"/>
    <w:rsid w:val="00B61837"/>
    <w:rsid w:val="00B65DB8"/>
    <w:rsid w:val="00B66740"/>
    <w:rsid w:val="00B673EC"/>
    <w:rsid w:val="00B8081F"/>
    <w:rsid w:val="00B81686"/>
    <w:rsid w:val="00B8490D"/>
    <w:rsid w:val="00B941A8"/>
    <w:rsid w:val="00B96F41"/>
    <w:rsid w:val="00BA662B"/>
    <w:rsid w:val="00BB161E"/>
    <w:rsid w:val="00BC131F"/>
    <w:rsid w:val="00BC2504"/>
    <w:rsid w:val="00BC3B29"/>
    <w:rsid w:val="00BC3FC1"/>
    <w:rsid w:val="00BC473E"/>
    <w:rsid w:val="00BD1359"/>
    <w:rsid w:val="00BD43CD"/>
    <w:rsid w:val="00BE2292"/>
    <w:rsid w:val="00BE3EC3"/>
    <w:rsid w:val="00BE6C56"/>
    <w:rsid w:val="00BF64BF"/>
    <w:rsid w:val="00C00E2D"/>
    <w:rsid w:val="00C01F1F"/>
    <w:rsid w:val="00C02511"/>
    <w:rsid w:val="00C03005"/>
    <w:rsid w:val="00C105B8"/>
    <w:rsid w:val="00C12719"/>
    <w:rsid w:val="00C12802"/>
    <w:rsid w:val="00C2472F"/>
    <w:rsid w:val="00C32024"/>
    <w:rsid w:val="00C4375E"/>
    <w:rsid w:val="00C50473"/>
    <w:rsid w:val="00C5669D"/>
    <w:rsid w:val="00C62DCF"/>
    <w:rsid w:val="00C637E5"/>
    <w:rsid w:val="00C651E0"/>
    <w:rsid w:val="00C7152E"/>
    <w:rsid w:val="00C80E1E"/>
    <w:rsid w:val="00C817D7"/>
    <w:rsid w:val="00C828E9"/>
    <w:rsid w:val="00C833FE"/>
    <w:rsid w:val="00C84E43"/>
    <w:rsid w:val="00C93630"/>
    <w:rsid w:val="00C93AA4"/>
    <w:rsid w:val="00C96526"/>
    <w:rsid w:val="00CB4F34"/>
    <w:rsid w:val="00CB51B5"/>
    <w:rsid w:val="00CB70F2"/>
    <w:rsid w:val="00CC3618"/>
    <w:rsid w:val="00CD1946"/>
    <w:rsid w:val="00CD2C86"/>
    <w:rsid w:val="00CD6807"/>
    <w:rsid w:val="00CD732A"/>
    <w:rsid w:val="00CE62A0"/>
    <w:rsid w:val="00CE6D38"/>
    <w:rsid w:val="00CE77B3"/>
    <w:rsid w:val="00CF274D"/>
    <w:rsid w:val="00D02134"/>
    <w:rsid w:val="00D04550"/>
    <w:rsid w:val="00D1307D"/>
    <w:rsid w:val="00D1319A"/>
    <w:rsid w:val="00D200B9"/>
    <w:rsid w:val="00D252BD"/>
    <w:rsid w:val="00D31930"/>
    <w:rsid w:val="00D333A1"/>
    <w:rsid w:val="00D360B6"/>
    <w:rsid w:val="00D40F37"/>
    <w:rsid w:val="00D4422F"/>
    <w:rsid w:val="00D47C16"/>
    <w:rsid w:val="00D50672"/>
    <w:rsid w:val="00D5108A"/>
    <w:rsid w:val="00D62007"/>
    <w:rsid w:val="00D63DF8"/>
    <w:rsid w:val="00D65BEA"/>
    <w:rsid w:val="00D72542"/>
    <w:rsid w:val="00D7407F"/>
    <w:rsid w:val="00D76947"/>
    <w:rsid w:val="00D8198F"/>
    <w:rsid w:val="00D8519B"/>
    <w:rsid w:val="00D96A84"/>
    <w:rsid w:val="00DA0611"/>
    <w:rsid w:val="00DA4189"/>
    <w:rsid w:val="00DB010D"/>
    <w:rsid w:val="00DB0D0B"/>
    <w:rsid w:val="00DB2351"/>
    <w:rsid w:val="00DB42C5"/>
    <w:rsid w:val="00DB6CDF"/>
    <w:rsid w:val="00DC00A3"/>
    <w:rsid w:val="00DC5DB5"/>
    <w:rsid w:val="00DC7B07"/>
    <w:rsid w:val="00DD3A82"/>
    <w:rsid w:val="00DD4C93"/>
    <w:rsid w:val="00DD7EA5"/>
    <w:rsid w:val="00DE0F55"/>
    <w:rsid w:val="00DE61D8"/>
    <w:rsid w:val="00DF06DF"/>
    <w:rsid w:val="00DF150E"/>
    <w:rsid w:val="00DF25B7"/>
    <w:rsid w:val="00DF4177"/>
    <w:rsid w:val="00DF502F"/>
    <w:rsid w:val="00DF5E12"/>
    <w:rsid w:val="00E00BBE"/>
    <w:rsid w:val="00E03757"/>
    <w:rsid w:val="00E225F6"/>
    <w:rsid w:val="00E27F64"/>
    <w:rsid w:val="00E3275D"/>
    <w:rsid w:val="00E426F2"/>
    <w:rsid w:val="00E43779"/>
    <w:rsid w:val="00E46BA2"/>
    <w:rsid w:val="00E52688"/>
    <w:rsid w:val="00E569FB"/>
    <w:rsid w:val="00E5721C"/>
    <w:rsid w:val="00E6024A"/>
    <w:rsid w:val="00E60E36"/>
    <w:rsid w:val="00E62449"/>
    <w:rsid w:val="00E728E7"/>
    <w:rsid w:val="00E81DA0"/>
    <w:rsid w:val="00E86769"/>
    <w:rsid w:val="00E9729B"/>
    <w:rsid w:val="00EA00A7"/>
    <w:rsid w:val="00EA29D6"/>
    <w:rsid w:val="00EA3260"/>
    <w:rsid w:val="00EA6969"/>
    <w:rsid w:val="00EB0425"/>
    <w:rsid w:val="00EB2375"/>
    <w:rsid w:val="00EC1CA7"/>
    <w:rsid w:val="00EC2EC0"/>
    <w:rsid w:val="00EC36E8"/>
    <w:rsid w:val="00EC52FA"/>
    <w:rsid w:val="00ED09D3"/>
    <w:rsid w:val="00ED1CCE"/>
    <w:rsid w:val="00ED1CEE"/>
    <w:rsid w:val="00ED5CBB"/>
    <w:rsid w:val="00ED64E4"/>
    <w:rsid w:val="00ED6534"/>
    <w:rsid w:val="00EE50FD"/>
    <w:rsid w:val="00EF34D8"/>
    <w:rsid w:val="00F43EA5"/>
    <w:rsid w:val="00F51163"/>
    <w:rsid w:val="00F51ED8"/>
    <w:rsid w:val="00F51FEA"/>
    <w:rsid w:val="00F539CB"/>
    <w:rsid w:val="00F550C9"/>
    <w:rsid w:val="00F5526D"/>
    <w:rsid w:val="00F56B32"/>
    <w:rsid w:val="00F6742C"/>
    <w:rsid w:val="00F70820"/>
    <w:rsid w:val="00F766AB"/>
    <w:rsid w:val="00F84F82"/>
    <w:rsid w:val="00F91595"/>
    <w:rsid w:val="00F936D1"/>
    <w:rsid w:val="00F9494A"/>
    <w:rsid w:val="00F973C8"/>
    <w:rsid w:val="00FA047F"/>
    <w:rsid w:val="00FA2A67"/>
    <w:rsid w:val="00FB1226"/>
    <w:rsid w:val="00FB1572"/>
    <w:rsid w:val="00FB71E0"/>
    <w:rsid w:val="00FB72A2"/>
    <w:rsid w:val="00FC1180"/>
    <w:rsid w:val="00FD0483"/>
    <w:rsid w:val="00FD1729"/>
    <w:rsid w:val="00FD5939"/>
    <w:rsid w:val="00FE3DBE"/>
    <w:rsid w:val="00FF0332"/>
    <w:rsid w:val="01853808"/>
    <w:rsid w:val="01BB7A1F"/>
    <w:rsid w:val="09631F38"/>
    <w:rsid w:val="0E051E00"/>
    <w:rsid w:val="0ECC1BE1"/>
    <w:rsid w:val="0ECE41BB"/>
    <w:rsid w:val="0F8A1F5C"/>
    <w:rsid w:val="107F1370"/>
    <w:rsid w:val="11C113AA"/>
    <w:rsid w:val="11FC5B8F"/>
    <w:rsid w:val="13A56262"/>
    <w:rsid w:val="14A81976"/>
    <w:rsid w:val="14CF5443"/>
    <w:rsid w:val="152153CC"/>
    <w:rsid w:val="16E508A0"/>
    <w:rsid w:val="1CF4594F"/>
    <w:rsid w:val="23E23443"/>
    <w:rsid w:val="24493E17"/>
    <w:rsid w:val="272A5BA0"/>
    <w:rsid w:val="2A4A208E"/>
    <w:rsid w:val="2CFD72FE"/>
    <w:rsid w:val="30F34067"/>
    <w:rsid w:val="316823F4"/>
    <w:rsid w:val="35CF2943"/>
    <w:rsid w:val="36E56666"/>
    <w:rsid w:val="3AE64D70"/>
    <w:rsid w:val="3DC01EBB"/>
    <w:rsid w:val="3EB913C0"/>
    <w:rsid w:val="3F324AD3"/>
    <w:rsid w:val="40BF407F"/>
    <w:rsid w:val="41186D50"/>
    <w:rsid w:val="41877FDB"/>
    <w:rsid w:val="41E76355"/>
    <w:rsid w:val="43755B97"/>
    <w:rsid w:val="45AF7961"/>
    <w:rsid w:val="46AD28D3"/>
    <w:rsid w:val="49207DBA"/>
    <w:rsid w:val="493024B4"/>
    <w:rsid w:val="4A0F5EC9"/>
    <w:rsid w:val="4B88528B"/>
    <w:rsid w:val="4B952E05"/>
    <w:rsid w:val="4C161AA6"/>
    <w:rsid w:val="4C9F39B1"/>
    <w:rsid w:val="4CF177B2"/>
    <w:rsid w:val="4D9A72A3"/>
    <w:rsid w:val="509C69B2"/>
    <w:rsid w:val="53C41FF6"/>
    <w:rsid w:val="560873E9"/>
    <w:rsid w:val="575E3989"/>
    <w:rsid w:val="597E5295"/>
    <w:rsid w:val="59E40E1B"/>
    <w:rsid w:val="5B8E02A2"/>
    <w:rsid w:val="5BB30F37"/>
    <w:rsid w:val="5BBB592E"/>
    <w:rsid w:val="5CFC60F1"/>
    <w:rsid w:val="5D6A152B"/>
    <w:rsid w:val="5EA24EC4"/>
    <w:rsid w:val="60251293"/>
    <w:rsid w:val="616051CB"/>
    <w:rsid w:val="62D00D9E"/>
    <w:rsid w:val="635C5A66"/>
    <w:rsid w:val="6431748A"/>
    <w:rsid w:val="67DE36AA"/>
    <w:rsid w:val="689033BA"/>
    <w:rsid w:val="6A6C5FB0"/>
    <w:rsid w:val="6B3A41AA"/>
    <w:rsid w:val="6B427D65"/>
    <w:rsid w:val="6DA705FA"/>
    <w:rsid w:val="71451E1C"/>
    <w:rsid w:val="71F73B29"/>
    <w:rsid w:val="7295054C"/>
    <w:rsid w:val="73B05C6B"/>
    <w:rsid w:val="76292102"/>
    <w:rsid w:val="78FF4B56"/>
    <w:rsid w:val="7BFF02E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paragraph" w:styleId="2">
    <w:name w:val="heading 1"/>
    <w:basedOn w:val="3"/>
    <w:next w:val="1"/>
    <w:qFormat/>
    <w:locked/>
    <w:uiPriority w:val="0"/>
    <w:pPr>
      <w:keepNext/>
      <w:keepLines/>
      <w:snapToGrid w:val="0"/>
      <w:spacing w:line="360" w:lineRule="auto"/>
    </w:pPr>
    <w:rPr>
      <w:rFonts w:ascii="Times New Roman" w:hAnsi="Times New Roman" w:eastAsia="黑体"/>
      <w:b w:val="0"/>
      <w:kern w:val="44"/>
    </w:rPr>
  </w:style>
  <w:style w:type="paragraph" w:styleId="4">
    <w:name w:val="heading 2"/>
    <w:basedOn w:val="1"/>
    <w:next w:val="1"/>
    <w:unhideWhenUsed/>
    <w:qFormat/>
    <w:locked/>
    <w:uiPriority w:val="0"/>
    <w:pPr>
      <w:keepNext/>
      <w:keepLines/>
      <w:spacing w:line="360" w:lineRule="auto"/>
      <w:ind w:firstLine="440" w:firstLineChars="200"/>
      <w:outlineLvl w:val="1"/>
    </w:pPr>
    <w:rPr>
      <w:rFonts w:ascii="Arial" w:hAnsi="Arial"/>
      <w:sz w:val="24"/>
    </w:rPr>
  </w:style>
  <w:style w:type="character" w:default="1" w:styleId="19">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itle"/>
    <w:basedOn w:val="1"/>
    <w:qFormat/>
    <w:locked/>
    <w:uiPriority w:val="0"/>
    <w:pPr>
      <w:jc w:val="center"/>
      <w:outlineLvl w:val="0"/>
    </w:pPr>
    <w:rPr>
      <w:rFonts w:ascii="Arial" w:hAnsi="Arial"/>
      <w:b/>
      <w:sz w:val="32"/>
    </w:rPr>
  </w:style>
  <w:style w:type="paragraph" w:styleId="5">
    <w:name w:val="Normal Indent"/>
    <w:basedOn w:val="1"/>
    <w:qFormat/>
    <w:uiPriority w:val="0"/>
    <w:pPr>
      <w:autoSpaceDE w:val="0"/>
      <w:autoSpaceDN w:val="0"/>
      <w:ind w:left="480"/>
    </w:pPr>
    <w:rPr>
      <w:rFonts w:ascii="MingLiU" w:eastAsia="MingLiU"/>
      <w:sz w:val="24"/>
      <w:szCs w:val="20"/>
    </w:rPr>
  </w:style>
  <w:style w:type="paragraph" w:styleId="6">
    <w:name w:val="caption"/>
    <w:basedOn w:val="1"/>
    <w:next w:val="1"/>
    <w:link w:val="35"/>
    <w:unhideWhenUsed/>
    <w:qFormat/>
    <w:locked/>
    <w:uiPriority w:val="35"/>
    <w:pPr>
      <w:jc w:val="both"/>
    </w:pPr>
    <w:rPr>
      <w:rFonts w:ascii="Cambria" w:hAnsi="Cambria" w:eastAsia="黑体"/>
      <w:kern w:val="2"/>
      <w:sz w:val="20"/>
      <w:szCs w:val="20"/>
      <w:lang w:eastAsia="zh-CN"/>
    </w:rPr>
  </w:style>
  <w:style w:type="paragraph" w:styleId="7">
    <w:name w:val="Body Text"/>
    <w:basedOn w:val="1"/>
    <w:link w:val="23"/>
    <w:qFormat/>
    <w:uiPriority w:val="99"/>
    <w:pPr>
      <w:ind w:left="289"/>
    </w:pPr>
    <w:rPr>
      <w:rFonts w:ascii="宋体" w:hAnsi="宋体"/>
      <w:sz w:val="26"/>
      <w:szCs w:val="26"/>
    </w:rPr>
  </w:style>
  <w:style w:type="paragraph" w:styleId="8">
    <w:name w:val="toc 3"/>
    <w:basedOn w:val="1"/>
    <w:next w:val="1"/>
    <w:qFormat/>
    <w:locked/>
    <w:uiPriority w:val="0"/>
    <w:pPr>
      <w:ind w:left="840" w:leftChars="400"/>
    </w:pPr>
  </w:style>
  <w:style w:type="paragraph" w:styleId="9">
    <w:name w:val="Plain Text"/>
    <w:basedOn w:val="1"/>
    <w:link w:val="44"/>
    <w:qFormat/>
    <w:uiPriority w:val="0"/>
    <w:pPr>
      <w:jc w:val="both"/>
    </w:pPr>
    <w:rPr>
      <w:rFonts w:ascii="宋体" w:hAnsi="Courier New" w:cs="Courier New"/>
      <w:kern w:val="2"/>
      <w:sz w:val="21"/>
      <w:szCs w:val="21"/>
      <w:lang w:eastAsia="zh-CN"/>
    </w:rPr>
  </w:style>
  <w:style w:type="paragraph" w:styleId="10">
    <w:name w:val="Balloon Text"/>
    <w:basedOn w:val="1"/>
    <w:link w:val="30"/>
    <w:semiHidden/>
    <w:qFormat/>
    <w:uiPriority w:val="99"/>
    <w:pPr>
      <w:jc w:val="both"/>
    </w:pPr>
    <w:rPr>
      <w:sz w:val="18"/>
      <w:szCs w:val="18"/>
      <w:lang w:eastAsia="zh-CN"/>
    </w:rPr>
  </w:style>
  <w:style w:type="paragraph" w:styleId="11">
    <w:name w:val="footer"/>
    <w:basedOn w:val="1"/>
    <w:link w:val="29"/>
    <w:qFormat/>
    <w:uiPriority w:val="99"/>
    <w:pPr>
      <w:tabs>
        <w:tab w:val="center" w:pos="4153"/>
        <w:tab w:val="right" w:pos="8306"/>
      </w:tabs>
      <w:snapToGrid w:val="0"/>
    </w:pPr>
    <w:rPr>
      <w:sz w:val="18"/>
      <w:szCs w:val="18"/>
    </w:rPr>
  </w:style>
  <w:style w:type="paragraph" w:styleId="12">
    <w:name w:val="header"/>
    <w:basedOn w:val="1"/>
    <w:link w:val="28"/>
    <w:semiHidden/>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locked/>
    <w:uiPriority w:val="0"/>
  </w:style>
  <w:style w:type="paragraph" w:styleId="14">
    <w:name w:val="toc 2"/>
    <w:basedOn w:val="1"/>
    <w:next w:val="1"/>
    <w:qFormat/>
    <w:locked/>
    <w:uiPriority w:val="0"/>
    <w:pPr>
      <w:ind w:left="420" w:leftChars="200"/>
    </w:pPr>
  </w:style>
  <w:style w:type="paragraph" w:styleId="15">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7">
    <w:name w:val="Table Grid"/>
    <w:basedOn w:val="16"/>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18">
    <w:name w:val="Light Shading Accent 1"/>
    <w:basedOn w:val="16"/>
    <w:qFormat/>
    <w:uiPriority w:val="60"/>
    <w:rPr>
      <w:rFonts w:eastAsia="微软雅黑"/>
      <w:color w:val="366091"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20">
    <w:name w:val="Strong"/>
    <w:basedOn w:val="19"/>
    <w:qFormat/>
    <w:locked/>
    <w:uiPriority w:val="22"/>
    <w:rPr>
      <w:b/>
      <w:bCs/>
    </w:rPr>
  </w:style>
  <w:style w:type="character" w:styleId="21">
    <w:name w:val="Hyperlink"/>
    <w:basedOn w:val="19"/>
    <w:qFormat/>
    <w:uiPriority w:val="99"/>
    <w:rPr>
      <w:rFonts w:cs="Times New Roman"/>
      <w:color w:val="0000FF"/>
      <w:u w:val="single"/>
    </w:rPr>
  </w:style>
  <w:style w:type="table" w:customStyle="1" w:styleId="22">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3">
    <w:name w:val="正文文本 字符"/>
    <w:basedOn w:val="19"/>
    <w:link w:val="7"/>
    <w:semiHidden/>
    <w:qFormat/>
    <w:locked/>
    <w:uiPriority w:val="99"/>
    <w:rPr>
      <w:rFonts w:cs="Times New Roman"/>
      <w:kern w:val="0"/>
      <w:sz w:val="22"/>
      <w:lang w:eastAsia="en-US"/>
    </w:rPr>
  </w:style>
  <w:style w:type="paragraph" w:customStyle="1" w:styleId="24">
    <w:name w:val="Heading 11"/>
    <w:basedOn w:val="1"/>
    <w:qFormat/>
    <w:uiPriority w:val="99"/>
    <w:pPr>
      <w:outlineLvl w:val="1"/>
    </w:pPr>
    <w:rPr>
      <w:rFonts w:ascii="黑体" w:hAnsi="黑体" w:eastAsia="黑体"/>
      <w:sz w:val="32"/>
      <w:szCs w:val="32"/>
    </w:rPr>
  </w:style>
  <w:style w:type="paragraph" w:customStyle="1" w:styleId="25">
    <w:name w:val="Heading 21"/>
    <w:basedOn w:val="1"/>
    <w:qFormat/>
    <w:uiPriority w:val="99"/>
    <w:pPr>
      <w:ind w:left="560" w:hanging="629"/>
      <w:outlineLvl w:val="2"/>
    </w:pPr>
    <w:rPr>
      <w:rFonts w:ascii="宋体" w:hAnsi="宋体"/>
      <w:sz w:val="28"/>
      <w:szCs w:val="28"/>
    </w:rPr>
  </w:style>
  <w:style w:type="paragraph" w:customStyle="1" w:styleId="26">
    <w:name w:val="列出段落1"/>
    <w:basedOn w:val="1"/>
    <w:qFormat/>
    <w:uiPriority w:val="34"/>
  </w:style>
  <w:style w:type="paragraph" w:customStyle="1" w:styleId="27">
    <w:name w:val="Table Paragraph"/>
    <w:basedOn w:val="1"/>
    <w:qFormat/>
    <w:uiPriority w:val="99"/>
  </w:style>
  <w:style w:type="character" w:customStyle="1" w:styleId="28">
    <w:name w:val="页眉 字符"/>
    <w:basedOn w:val="19"/>
    <w:link w:val="12"/>
    <w:semiHidden/>
    <w:qFormat/>
    <w:locked/>
    <w:uiPriority w:val="99"/>
    <w:rPr>
      <w:rFonts w:cs="Times New Roman"/>
      <w:sz w:val="18"/>
      <w:szCs w:val="18"/>
    </w:rPr>
  </w:style>
  <w:style w:type="character" w:customStyle="1" w:styleId="29">
    <w:name w:val="页脚 字符"/>
    <w:basedOn w:val="19"/>
    <w:link w:val="11"/>
    <w:qFormat/>
    <w:locked/>
    <w:uiPriority w:val="99"/>
    <w:rPr>
      <w:rFonts w:cs="Times New Roman"/>
      <w:sz w:val="18"/>
      <w:szCs w:val="18"/>
    </w:rPr>
  </w:style>
  <w:style w:type="character" w:customStyle="1" w:styleId="30">
    <w:name w:val="批注框文本 字符"/>
    <w:basedOn w:val="19"/>
    <w:link w:val="10"/>
    <w:semiHidden/>
    <w:qFormat/>
    <w:locked/>
    <w:uiPriority w:val="99"/>
    <w:rPr>
      <w:rFonts w:ascii="Calibri" w:hAnsi="Calibri" w:eastAsia="宋体" w:cs="Times New Roman"/>
      <w:sz w:val="18"/>
      <w:szCs w:val="18"/>
      <w:lang w:val="en-US" w:eastAsia="zh-CN" w:bidi="ar-SA"/>
    </w:rPr>
  </w:style>
  <w:style w:type="paragraph" w:customStyle="1" w:styleId="31">
    <w:name w:val="YL正文"/>
    <w:basedOn w:val="1"/>
    <w:link w:val="32"/>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2">
    <w:name w:val="YL正文 Char"/>
    <w:basedOn w:val="19"/>
    <w:link w:val="31"/>
    <w:qFormat/>
    <w:locked/>
    <w:uiPriority w:val="99"/>
    <w:rPr>
      <w:rFonts w:ascii="仿宋" w:hAnsi="仿宋" w:eastAsia="宋体" w:cs="Times New Roman"/>
      <w:color w:val="000000"/>
      <w:kern w:val="2"/>
      <w:sz w:val="24"/>
      <w:szCs w:val="24"/>
      <w:lang w:val="en-US" w:eastAsia="zh-CN" w:bidi="ar-SA"/>
    </w:rPr>
  </w:style>
  <w:style w:type="paragraph" w:customStyle="1" w:styleId="33">
    <w:name w:val="YL六级"/>
    <w:basedOn w:val="1"/>
    <w:link w:val="34"/>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4">
    <w:name w:val="YL六级 Char"/>
    <w:basedOn w:val="19"/>
    <w:link w:val="33"/>
    <w:qFormat/>
    <w:locked/>
    <w:uiPriority w:val="99"/>
    <w:rPr>
      <w:rFonts w:ascii="仿宋" w:hAnsi="仿宋" w:eastAsia="宋体" w:cs="Times New Roman"/>
      <w:b/>
      <w:color w:val="000000"/>
      <w:kern w:val="2"/>
      <w:sz w:val="24"/>
      <w:szCs w:val="24"/>
      <w:lang w:val="en-US" w:eastAsia="zh-CN" w:bidi="ar-SA"/>
    </w:rPr>
  </w:style>
  <w:style w:type="character" w:customStyle="1" w:styleId="35">
    <w:name w:val="题注 字符"/>
    <w:basedOn w:val="19"/>
    <w:link w:val="6"/>
    <w:qFormat/>
    <w:uiPriority w:val="35"/>
    <w:rPr>
      <w:rFonts w:ascii="Cambria" w:hAnsi="Cambria" w:eastAsia="黑体"/>
      <w:kern w:val="2"/>
    </w:rPr>
  </w:style>
  <w:style w:type="paragraph" w:customStyle="1" w:styleId="36">
    <w:name w:val="XN表头"/>
    <w:basedOn w:val="6"/>
    <w:qFormat/>
    <w:uiPriority w:val="0"/>
    <w:pPr>
      <w:spacing w:beforeLines="30" w:afterLines="20"/>
      <w:jc w:val="center"/>
    </w:pPr>
    <w:rPr>
      <w:rFonts w:eastAsia="宋体"/>
      <w:b/>
      <w:sz w:val="24"/>
    </w:rPr>
  </w:style>
  <w:style w:type="paragraph" w:customStyle="1" w:styleId="37">
    <w:name w:val="XN表内容"/>
    <w:basedOn w:val="1"/>
    <w:link w:val="38"/>
    <w:qFormat/>
    <w:uiPriority w:val="0"/>
    <w:pPr>
      <w:spacing w:line="264" w:lineRule="auto"/>
      <w:jc w:val="center"/>
    </w:pPr>
    <w:rPr>
      <w:rFonts w:ascii="仿宋" w:hAnsi="仿宋"/>
      <w:color w:val="000000"/>
      <w:kern w:val="2"/>
      <w:sz w:val="21"/>
      <w:szCs w:val="24"/>
      <w:lang w:eastAsia="zh-CN"/>
    </w:rPr>
  </w:style>
  <w:style w:type="character" w:customStyle="1" w:styleId="38">
    <w:name w:val="XN表内容 Char"/>
    <w:basedOn w:val="19"/>
    <w:link w:val="37"/>
    <w:qFormat/>
    <w:uiPriority w:val="0"/>
    <w:rPr>
      <w:rFonts w:ascii="仿宋" w:hAnsi="仿宋"/>
      <w:color w:val="000000"/>
      <w:kern w:val="2"/>
      <w:sz w:val="21"/>
      <w:szCs w:val="24"/>
    </w:rPr>
  </w:style>
  <w:style w:type="paragraph" w:customStyle="1" w:styleId="39">
    <w:name w:val="表头"/>
    <w:basedOn w:val="1"/>
    <w:link w:val="40"/>
    <w:qFormat/>
    <w:uiPriority w:val="0"/>
    <w:pPr>
      <w:adjustRightInd w:val="0"/>
      <w:snapToGrid w:val="0"/>
      <w:jc w:val="center"/>
    </w:pPr>
    <w:rPr>
      <w:rFonts w:ascii="宋体" w:hAnsi="宋体"/>
      <w:b/>
      <w:sz w:val="20"/>
      <w:szCs w:val="21"/>
      <w:lang w:eastAsia="zh-CN"/>
    </w:rPr>
  </w:style>
  <w:style w:type="character" w:customStyle="1" w:styleId="40">
    <w:name w:val="表头 Char"/>
    <w:link w:val="39"/>
    <w:qFormat/>
    <w:uiPriority w:val="0"/>
    <w:rPr>
      <w:rFonts w:ascii="宋体" w:hAnsi="宋体"/>
      <w:b/>
      <w:szCs w:val="21"/>
    </w:rPr>
  </w:style>
  <w:style w:type="paragraph" w:customStyle="1" w:styleId="41">
    <w:name w:val="表头五号"/>
    <w:basedOn w:val="1"/>
    <w:link w:val="42"/>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2">
    <w:name w:val="表头五号 Char"/>
    <w:basedOn w:val="19"/>
    <w:link w:val="41"/>
    <w:qFormat/>
    <w:uiPriority w:val="0"/>
    <w:rPr>
      <w:rFonts w:ascii="宋体" w:hAnsi="宋体"/>
      <w:b/>
      <w:kern w:val="2"/>
      <w:sz w:val="21"/>
      <w:szCs w:val="24"/>
    </w:rPr>
  </w:style>
  <w:style w:type="paragraph" w:customStyle="1" w:styleId="43">
    <w:name w:val="列出段落11"/>
    <w:basedOn w:val="1"/>
    <w:qFormat/>
    <w:uiPriority w:val="99"/>
    <w:pPr>
      <w:ind w:firstLine="420" w:firstLineChars="200"/>
      <w:jc w:val="both"/>
    </w:pPr>
    <w:rPr>
      <w:rFonts w:ascii="Times New Roman" w:hAnsi="Times New Roman"/>
      <w:kern w:val="2"/>
      <w:sz w:val="21"/>
      <w:szCs w:val="24"/>
      <w:lang w:eastAsia="zh-CN"/>
    </w:rPr>
  </w:style>
  <w:style w:type="character" w:customStyle="1" w:styleId="44">
    <w:name w:val="纯文本 字符"/>
    <w:basedOn w:val="19"/>
    <w:link w:val="9"/>
    <w:qFormat/>
    <w:uiPriority w:val="0"/>
    <w:rPr>
      <w:rFonts w:ascii="宋体" w:hAnsi="Courier New" w:cs="Courier New"/>
      <w:kern w:val="2"/>
      <w:sz w:val="21"/>
      <w:szCs w:val="21"/>
    </w:rPr>
  </w:style>
  <w:style w:type="paragraph" w:styleId="45">
    <w:name w:val="List Paragraph"/>
    <w:basedOn w:val="1"/>
    <w:unhideWhenUsed/>
    <w:qFormat/>
    <w:uiPriority w:val="99"/>
    <w:pPr>
      <w:ind w:firstLine="420" w:firstLineChars="200"/>
    </w:pPr>
  </w:style>
  <w:style w:type="character" w:customStyle="1" w:styleId="46">
    <w:name w:val="正文2 Char"/>
    <w:link w:val="47"/>
    <w:qFormat/>
    <w:uiPriority w:val="0"/>
    <w:rPr>
      <w:rFonts w:ascii="宋体" w:hAnsi="宋体"/>
      <w:color w:val="000000"/>
      <w:kern w:val="2"/>
      <w:sz w:val="24"/>
    </w:rPr>
  </w:style>
  <w:style w:type="paragraph" w:customStyle="1" w:styleId="47">
    <w:name w:val="正文2"/>
    <w:basedOn w:val="1"/>
    <w:link w:val="46"/>
    <w:qFormat/>
    <w:uiPriority w:val="0"/>
    <w:pPr>
      <w:adjustRightInd w:val="0"/>
      <w:spacing w:line="360" w:lineRule="auto"/>
      <w:ind w:firstLine="480" w:firstLineChars="200"/>
      <w:jc w:val="both"/>
    </w:pPr>
    <w:rPr>
      <w:rFonts w:ascii="宋体" w:hAnsi="宋体"/>
      <w:color w:val="000000"/>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2.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6"/>
    <customShpInfo spid="_x0000_s2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D29A29-AE97-49D0-BBEE-73F8DC50F2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6414</Words>
  <Characters>6738</Characters>
  <Lines>91</Lines>
  <Paragraphs>25</Paragraphs>
  <TotalTime>19</TotalTime>
  <ScaleCrop>false</ScaleCrop>
  <LinksUpToDate>false</LinksUpToDate>
  <CharactersWithSpaces>6853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2019-02-14T07:49:00Z</dcterms:created>
  <dc:creator>赖凌祥</dc:creator>
  <cp:lastModifiedBy>小道</cp:lastModifiedBy>
  <cp:lastPrinted>2025-04-13T15:06:00Z</cp:lastPrinted>
  <dcterms:modified xsi:type="dcterms:W3CDTF">2025-07-18T05:21:56Z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D394DDA186C6441F98A938B131D6220C</vt:lpwstr>
  </property>
  <property fmtid="{D5CDD505-2E9C-101B-9397-08002B2CF9AE}" pid="4" name="KSOTemplateDocerSaveRecord">
    <vt:lpwstr>eyJoZGlkIjoiZTczZGJiMzk3NmE4MTFmY2I0NmVkOTVhODY4OTk3OTciLCJ1c2VySWQiOiI0MTU0MzA3MTEifQ==</vt:lpwstr>
  </property>
</Properties>
</file>